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中共杨凌示范区工委宣传部</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贯彻制定和实施示范区宣传思想工作计划、具体组织全区宣传思想工作。指导示范区各单位的宣传工作和宣传文化系统各单位的工作，协调示范区整体对外宣传工作。组织、指导示范区理论研究、理论学习、理论宣传工作；负责引导社会舆论，把握正确导向，指导、协调示范区新闻工作，并在政治方向和方针、横测方面实施领导。宏观指导、协调示范区广播电影电视、出版工作。承担示范区精神文明建设指导委员会办公室职能，安排部署全区精神文明建设工作，研究建设精神文明建设的规划、措施、对策。指导协调示范区及群众性精神文明创建活动。组织实施全区文明单位的检查评比、命名表彰工作。负责示范区对外宣传工作。贯彻落实党的对外宣传政策，制定示范区对外宣传工作的规划；组织实施对外宣传重大活动；协调做好国外、境外来访记者的管理工作；统筹协调互联网的新闻宣传工作。</w:t>
      </w:r>
      <w:r>
        <w:rPr>
          <w:rFonts w:hint="eastAsia" w:ascii="仿宋_GB2312" w:eastAsia="仿宋_GB2312"/>
          <w:sz w:val="32"/>
          <w:szCs w:val="32"/>
          <w:lang w:eastAsia="zh-CN"/>
        </w:rPr>
        <w:t>领导</w:t>
      </w:r>
      <w:r>
        <w:rPr>
          <w:rFonts w:hint="eastAsia" w:ascii="仿宋_GB2312" w:eastAsia="仿宋_GB2312"/>
          <w:sz w:val="32"/>
          <w:szCs w:val="32"/>
        </w:rPr>
        <w:t>农业科技报社、杨凌</w:t>
      </w:r>
      <w:r>
        <w:rPr>
          <w:rFonts w:hint="eastAsia" w:ascii="仿宋_GB2312" w:eastAsia="仿宋_GB2312"/>
          <w:sz w:val="32"/>
          <w:szCs w:val="32"/>
          <w:lang w:eastAsia="zh-CN"/>
        </w:rPr>
        <w:t>融媒体中心</w:t>
      </w:r>
      <w:r>
        <w:rPr>
          <w:rFonts w:hint="eastAsia" w:ascii="仿宋_GB2312" w:eastAsia="仿宋_GB2312"/>
          <w:sz w:val="32"/>
          <w:szCs w:val="32"/>
        </w:rPr>
        <w:t>。贯彻执行国家新闻出版政策、法规；示范区新闻出版活动实施监督管理；查出违禁出版物和出版、印刷、复制、发行活动中的违法行为。监督管理示范区印刷业；组织协调有关部门实施全区出版物市场“扫黄打非”行动，依法管理出版物市场，查处非法出版活动和非法出版物，保护出版、印刷、发行单位及其从业人员的合法权益。负责音像制品的出版、复制管理和电子出版物制作单位的备案和管理；负责非法音像制品和电子出版物的认定。负责管理示范区著作权工作，调节著作纠纷，查处著作权侵权案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 w:hAnsi="楷体" w:eastAsia="仿宋_GB2312" w:cs="楷体"/>
          <w:b/>
          <w:bCs/>
          <w:color w:val="000000"/>
          <w:kern w:val="0"/>
          <w:sz w:val="32"/>
          <w:szCs w:val="32"/>
          <w:lang w:val="en-US" w:eastAsia="zh-CN" w:bidi="ar"/>
        </w:rPr>
      </w:pPr>
      <w:r>
        <w:rPr>
          <w:rFonts w:hint="eastAsia" w:ascii="仿宋_GB2312" w:hAnsi="仿宋_GB2312" w:eastAsia="仿宋_GB2312" w:cs="仿宋_GB2312"/>
          <w:kern w:val="2"/>
          <w:sz w:val="32"/>
          <w:szCs w:val="32"/>
          <w:lang w:val="en-US" w:eastAsia="zh-CN" w:bidi="ar-SA"/>
        </w:rPr>
        <w:t>根据上述职责，本部门2019年内设2个科室（综合科、业务科）。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中共杨凌示范区工委宣传部</w:t>
            </w:r>
            <w:r>
              <w:rPr>
                <w:rFonts w:hint="eastAsia" w:ascii="仿宋_GB2312" w:hAnsi="仿宋_GB2312" w:eastAsia="仿宋_GB2312" w:cs="仿宋_GB2312"/>
                <w:sz w:val="32"/>
                <w:szCs w:val="32"/>
              </w:rPr>
              <w:t>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截止2019年底，本部门人员编制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其中行政人员4人，事业人员4人；</w:t>
      </w:r>
      <w:r>
        <w:rPr>
          <w:rFonts w:hint="eastAsia" w:ascii="仿宋_GB2312" w:hAnsi="仿宋_GB2312" w:eastAsia="仿宋_GB2312" w:cs="仿宋_GB2312"/>
          <w:sz w:val="32"/>
          <w:szCs w:val="32"/>
          <w:lang w:eastAsia="zh-CN"/>
        </w:rPr>
        <w:t>实有人员</w:t>
      </w:r>
      <w:r>
        <w:rPr>
          <w:rFonts w:hint="eastAsia" w:ascii="仿宋_GB2312" w:hAnsi="仿宋_GB2312" w:eastAsia="仿宋_GB2312" w:cs="仿宋_GB2312"/>
          <w:sz w:val="32"/>
          <w:szCs w:val="32"/>
          <w:lang w:val="en-US" w:eastAsia="zh-CN"/>
        </w:rPr>
        <w:t>6人，其中行政人员3人，事业人员3人，空编2人，</w:t>
      </w:r>
      <w:r>
        <w:rPr>
          <w:rFonts w:hint="eastAsia" w:ascii="仿宋_GB2312" w:hAnsi="仿宋_GB2312" w:eastAsia="仿宋_GB2312" w:cs="仿宋_GB2312"/>
          <w:sz w:val="32"/>
          <w:szCs w:val="32"/>
          <w:lang w:eastAsia="zh-CN"/>
        </w:rPr>
        <w:t>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人。</w:t>
      </w:r>
    </w:p>
    <w:p>
      <w:pPr>
        <w:widowControl/>
        <w:tabs>
          <w:tab w:val="left" w:pos="7834"/>
        </w:tabs>
        <w:jc w:val="center"/>
        <w:rPr>
          <w:rFonts w:hint="eastAsia" w:ascii="黑体" w:hAnsi="宋体" w:eastAsia="宋体"/>
          <w:color w:val="000000"/>
          <w:kern w:val="0"/>
          <w:sz w:val="44"/>
          <w:szCs w:val="44"/>
          <w:lang w:eastAsia="zh-CN" w:bidi="ar"/>
        </w:rPr>
      </w:pPr>
      <w:r>
        <w:drawing>
          <wp:inline distT="0" distB="0" distL="114300" distR="114300">
            <wp:extent cx="4045585" cy="2312035"/>
            <wp:effectExtent l="4445" t="4445" r="7620" b="762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lang w:eastAsia="zh-CN" w:bidi="ar"/>
              </w:rPr>
              <w:t>本</w:t>
            </w:r>
            <w:r>
              <w:rPr>
                <w:rFonts w:hint="eastAsia" w:ascii="宋体" w:hAnsi="宋体" w:cs="宋体"/>
                <w:color w:val="000000"/>
                <w:kern w:val="0"/>
                <w:sz w:val="24"/>
                <w:lang w:bidi="ar"/>
              </w:rPr>
              <w:t>部门无政府性基金决算收支</w:t>
            </w:r>
          </w:p>
        </w:tc>
      </w:tr>
    </w:tbl>
    <w:p>
      <w:pPr>
        <w:widowControl/>
        <w:jc w:val="both"/>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129"/>
        <w:gridCol w:w="1339"/>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1214.82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6</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339"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339"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00</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339"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13.10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339"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43</w:t>
            </w:r>
          </w:p>
        </w:tc>
      </w:tr>
      <w:tr>
        <w:tblPrEx>
          <w:tblCellMar>
            <w:top w:w="15" w:type="dxa"/>
            <w:left w:w="15" w:type="dxa"/>
            <w:bottom w:w="15" w:type="dxa"/>
            <w:right w:w="15" w:type="dxa"/>
          </w:tblCellMar>
        </w:tblPrEx>
        <w:trPr>
          <w:trHeight w:val="249"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339"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339"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8"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5"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1"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5"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8</w:t>
            </w:r>
          </w:p>
        </w:tc>
      </w:tr>
      <w:tr>
        <w:tblPrEx>
          <w:tblCellMar>
            <w:top w:w="15" w:type="dxa"/>
            <w:left w:w="15" w:type="dxa"/>
            <w:bottom w:w="15" w:type="dxa"/>
            <w:right w:w="15" w:type="dxa"/>
          </w:tblCellMar>
        </w:tblPrEx>
        <w:trPr>
          <w:trHeight w:val="312"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12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15" w:hRule="atLeast"/>
        </w:trPr>
        <w:tc>
          <w:tcPr>
            <w:tcW w:w="312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339"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1227</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92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1219</w:t>
            </w:r>
            <w:r>
              <w:rPr>
                <w:rFonts w:hint="eastAsia" w:ascii="宋体" w:hAnsi="宋体" w:cs="宋体"/>
                <w:b/>
                <w:color w:val="000000"/>
                <w:szCs w:val="21"/>
                <w:lang w:eastAsia="zh-CN"/>
              </w:rPr>
              <w:t>.</w:t>
            </w:r>
            <w:r>
              <w:rPr>
                <w:rFonts w:hint="eastAsia" w:ascii="宋体" w:hAnsi="宋体" w:cs="宋体"/>
                <w:b/>
                <w:color w:val="000000"/>
                <w:szCs w:val="21"/>
              </w:rPr>
              <w:t>26</w:t>
            </w:r>
          </w:p>
        </w:tc>
      </w:tr>
      <w:tr>
        <w:tblPrEx>
          <w:tblCellMar>
            <w:top w:w="15" w:type="dxa"/>
            <w:left w:w="15" w:type="dxa"/>
            <w:bottom w:w="15" w:type="dxa"/>
            <w:right w:w="15" w:type="dxa"/>
          </w:tblCellMar>
        </w:tblPrEx>
        <w:trPr>
          <w:trHeight w:val="355"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371"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339" w:type="dxa"/>
            <w:tcBorders>
              <w:top w:val="single" w:color="000000" w:sz="4" w:space="0"/>
              <w:left w:val="single" w:color="000000" w:sz="4" w:space="0"/>
              <w:bottom w:val="single" w:color="000000" w:sz="4" w:space="0"/>
              <w:right w:val="single" w:color="000000" w:sz="4" w:space="0"/>
            </w:tcBorders>
            <w:vAlign w:val="center"/>
          </w:tcPr>
          <w:p>
            <w:pPr>
              <w:tabs>
                <w:tab w:val="left" w:pos="600"/>
              </w:tabs>
              <w:jc w:val="left"/>
              <w:rPr>
                <w:rFonts w:hint="eastAsia" w:ascii="宋体" w:hAnsi="宋体" w:eastAsia="宋体" w:cs="宋体"/>
                <w:bCs/>
                <w:color w:val="000000"/>
                <w:szCs w:val="21"/>
                <w:lang w:eastAsia="zh-CN"/>
              </w:rPr>
            </w:pPr>
            <w:r>
              <w:rPr>
                <w:rFonts w:hint="eastAsia" w:ascii="宋体" w:hAnsi="宋体" w:cs="宋体"/>
                <w:bCs/>
                <w:color w:val="000000"/>
                <w:szCs w:val="21"/>
                <w:lang w:eastAsia="zh-CN"/>
              </w:rPr>
              <w:t>163.94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Cs w:val="21"/>
                <w:lang w:eastAsia="zh-CN"/>
              </w:rPr>
            </w:pPr>
            <w:r>
              <w:rPr>
                <w:rFonts w:hint="eastAsia" w:ascii="宋体" w:hAnsi="宋体" w:cs="宋体"/>
                <w:b/>
                <w:color w:val="000000"/>
                <w:szCs w:val="21"/>
              </w:rPr>
              <w:t>172</w:t>
            </w:r>
            <w:r>
              <w:rPr>
                <w:rFonts w:hint="eastAsia" w:ascii="宋体" w:hAnsi="宋体" w:cs="宋体"/>
                <w:b/>
                <w:color w:val="000000"/>
                <w:szCs w:val="21"/>
                <w:lang w:eastAsia="zh-CN"/>
              </w:rPr>
              <w:t>.</w:t>
            </w:r>
            <w:r>
              <w:rPr>
                <w:rFonts w:hint="eastAsia" w:ascii="宋体" w:hAnsi="宋体" w:cs="宋体"/>
                <w:b/>
                <w:color w:val="000000"/>
                <w:szCs w:val="21"/>
              </w:rPr>
              <w:t>6</w:t>
            </w:r>
            <w:r>
              <w:rPr>
                <w:rFonts w:hint="eastAsia" w:ascii="宋体" w:hAnsi="宋体" w:cs="宋体"/>
                <w:b/>
                <w:color w:val="000000"/>
                <w:szCs w:val="21"/>
                <w:lang w:val="en-US" w:eastAsia="zh-CN"/>
              </w:rPr>
              <w:t>1</w:t>
            </w:r>
          </w:p>
        </w:tc>
      </w:tr>
      <w:tr>
        <w:tblPrEx>
          <w:tblCellMar>
            <w:top w:w="15" w:type="dxa"/>
            <w:left w:w="15" w:type="dxa"/>
            <w:bottom w:w="15" w:type="dxa"/>
            <w:right w:w="15" w:type="dxa"/>
          </w:tblCellMar>
        </w:tblPrEx>
        <w:trPr>
          <w:trHeight w:val="382"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339" w:type="dxa"/>
            <w:tcBorders>
              <w:top w:val="single" w:color="000000" w:sz="4" w:space="0"/>
              <w:left w:val="single" w:color="000000" w:sz="4" w:space="0"/>
              <w:bottom w:val="single" w:color="000000" w:sz="4" w:space="0"/>
              <w:right w:val="single" w:color="000000" w:sz="4" w:space="0"/>
            </w:tcBorders>
            <w:vAlign w:val="center"/>
          </w:tcPr>
          <w:p>
            <w:pPr>
              <w:tabs>
                <w:tab w:val="left" w:pos="319"/>
              </w:tabs>
              <w:jc w:val="left"/>
              <w:rPr>
                <w:rFonts w:hint="eastAsia" w:ascii="宋体" w:hAnsi="宋体" w:eastAsia="宋体" w:cs="宋体"/>
                <w:color w:val="000000"/>
                <w:szCs w:val="21"/>
                <w:lang w:eastAsia="zh-CN"/>
              </w:rPr>
            </w:pPr>
            <w:r>
              <w:rPr>
                <w:rFonts w:hint="eastAsia" w:ascii="宋体" w:hAnsi="宋体" w:cs="宋体"/>
                <w:color w:val="000000"/>
                <w:szCs w:val="21"/>
                <w:lang w:eastAsia="zh-CN"/>
              </w:rPr>
              <w:t>1391.8</w:t>
            </w:r>
            <w:r>
              <w:rPr>
                <w:rFonts w:hint="eastAsia" w:ascii="宋体" w:hAnsi="宋体" w:cs="宋体"/>
                <w:color w:val="000000"/>
                <w:szCs w:val="21"/>
                <w:lang w:val="en-US" w:eastAsia="zh-CN"/>
              </w:rPr>
              <w:t>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Cs w:val="21"/>
                <w:lang w:eastAsia="zh-CN"/>
              </w:rPr>
            </w:pPr>
            <w:r>
              <w:rPr>
                <w:rFonts w:hint="eastAsia" w:ascii="宋体" w:hAnsi="宋体" w:cs="宋体"/>
                <w:b/>
                <w:color w:val="000000"/>
                <w:szCs w:val="21"/>
              </w:rPr>
              <w:t>1391</w:t>
            </w:r>
            <w:r>
              <w:rPr>
                <w:rFonts w:hint="eastAsia" w:ascii="宋体" w:hAnsi="宋体" w:cs="宋体"/>
                <w:b/>
                <w:color w:val="000000"/>
                <w:szCs w:val="21"/>
                <w:lang w:eastAsia="zh-CN"/>
              </w:rPr>
              <w:t>.</w:t>
            </w:r>
            <w:r>
              <w:rPr>
                <w:rFonts w:hint="eastAsia" w:ascii="宋体" w:hAnsi="宋体" w:cs="宋体"/>
                <w:b/>
                <w:color w:val="000000"/>
                <w:szCs w:val="21"/>
              </w:rPr>
              <w:t>8</w:t>
            </w:r>
            <w:r>
              <w:rPr>
                <w:rFonts w:hint="eastAsia" w:ascii="宋体" w:hAnsi="宋体" w:cs="宋体"/>
                <w:b/>
                <w:color w:val="000000"/>
                <w:szCs w:val="21"/>
                <w:lang w:val="en-US" w:eastAsia="zh-CN"/>
              </w:rPr>
              <w:t>7</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9064"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1007"/>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86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其中：教育收费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eastAsia="zh-CN"/>
              </w:rPr>
            </w:pPr>
            <w:r>
              <w:rPr>
                <w:rFonts w:hint="eastAsia" w:ascii="宋体" w:hAnsi="宋体" w:eastAsia="宋体" w:cs="宋体"/>
                <w:i w:val="0"/>
                <w:color w:val="000000"/>
                <w:kern w:val="0"/>
                <w:sz w:val="22"/>
                <w:szCs w:val="22"/>
                <w:u w:val="none"/>
                <w:lang w:val="en-US" w:eastAsia="zh-CN" w:bidi="ar"/>
              </w:rPr>
              <w:t>1227.92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eastAsia="zh-CN"/>
              </w:rPr>
            </w:pPr>
            <w:r>
              <w:rPr>
                <w:rFonts w:hint="eastAsia" w:ascii="宋体" w:hAnsi="宋体" w:eastAsia="宋体" w:cs="宋体"/>
                <w:i w:val="0"/>
                <w:color w:val="000000"/>
                <w:kern w:val="0"/>
                <w:sz w:val="22"/>
                <w:szCs w:val="22"/>
                <w:u w:val="none"/>
                <w:lang w:val="en-US" w:eastAsia="zh-CN" w:bidi="ar"/>
              </w:rPr>
              <w:t>1214.82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13.10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778.42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765.31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13.10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宣传事务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778.42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765.31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13.10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151.87</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138.77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13.10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24.55</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24.55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其他宣传事务支出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602.00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602.00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教育支出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教育费附加安排的支出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2050999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文化活动</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其他文化体育与传媒支出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宣传文化发展专项支出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096"/>
        <w:gridCol w:w="1252"/>
        <w:gridCol w:w="1112"/>
        <w:gridCol w:w="1077"/>
        <w:gridCol w:w="1109"/>
        <w:gridCol w:w="908"/>
        <w:gridCol w:w="1345"/>
      </w:tblGrid>
      <w:tr>
        <w:tblPrEx>
          <w:tblCellMar>
            <w:top w:w="15" w:type="dxa"/>
            <w:left w:w="15" w:type="dxa"/>
            <w:bottom w:w="15" w:type="dxa"/>
            <w:right w:w="15" w:type="dxa"/>
          </w:tblCellMar>
        </w:tblPrEx>
        <w:trPr>
          <w:trHeight w:val="372" w:hRule="atLeast"/>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2" w:type="dxa"/>
            <w:tcBorders>
              <w:top w:val="single" w:color="000000" w:sz="4" w:space="0"/>
              <w:left w:val="single" w:color="000000" w:sz="4" w:space="0"/>
              <w:bottom w:val="single" w:color="000000" w:sz="4" w:space="0"/>
              <w:right w:val="single" w:color="000000" w:sz="4" w:space="0"/>
            </w:tcBorders>
            <w:vAlign w:val="center"/>
          </w:tcPr>
          <w:p>
            <w:pPr>
              <w:tabs>
                <w:tab w:val="left" w:pos="250"/>
              </w:tabs>
              <w:jc w:val="left"/>
              <w:rPr>
                <w:rFonts w:hint="eastAsia" w:ascii="宋体" w:hAnsi="宋体" w:eastAsia="宋体" w:cs="宋体"/>
                <w:color w:val="000000"/>
                <w:szCs w:val="21"/>
                <w:lang w:eastAsia="zh-CN"/>
              </w:rPr>
            </w:pPr>
            <w:r>
              <w:rPr>
                <w:rFonts w:hint="eastAsia" w:ascii="宋体" w:hAnsi="宋体" w:cs="宋体"/>
                <w:color w:val="000000"/>
                <w:szCs w:val="21"/>
                <w:lang w:eastAsia="zh-CN"/>
              </w:rPr>
              <w:t>1219</w:t>
            </w:r>
            <w:r>
              <w:rPr>
                <w:rFonts w:hint="eastAsia" w:ascii="宋体" w:hAnsi="宋体" w:cs="宋体"/>
                <w:color w:val="000000"/>
                <w:szCs w:val="21"/>
                <w:lang w:val="en-US" w:eastAsia="zh-CN"/>
              </w:rPr>
              <w:t>.</w:t>
            </w:r>
            <w:r>
              <w:rPr>
                <w:rFonts w:hint="eastAsia" w:ascii="宋体" w:hAnsi="宋体" w:cs="宋体"/>
                <w:color w:val="000000"/>
                <w:szCs w:val="21"/>
                <w:lang w:eastAsia="zh-CN"/>
              </w:rPr>
              <w:t>26</w:t>
            </w:r>
          </w:p>
        </w:tc>
        <w:tc>
          <w:tcPr>
            <w:tcW w:w="11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rPr>
              <w:t>222</w:t>
            </w:r>
            <w:r>
              <w:rPr>
                <w:rFonts w:hint="eastAsia" w:ascii="宋体" w:hAnsi="宋体" w:cs="宋体"/>
                <w:color w:val="000000"/>
                <w:szCs w:val="21"/>
                <w:lang w:val="en-US" w:eastAsia="zh-CN"/>
              </w:rPr>
              <w:t>.</w:t>
            </w:r>
            <w:r>
              <w:rPr>
                <w:rFonts w:hint="eastAsia" w:ascii="宋体" w:hAnsi="宋体" w:cs="宋体"/>
                <w:color w:val="000000"/>
                <w:szCs w:val="21"/>
              </w:rPr>
              <w:t>7</w:t>
            </w:r>
            <w:r>
              <w:rPr>
                <w:rFonts w:hint="eastAsia" w:ascii="宋体" w:hAnsi="宋体" w:cs="宋体"/>
                <w:color w:val="000000"/>
                <w:szCs w:val="21"/>
                <w:lang w:val="en-US" w:eastAsia="zh-CN"/>
              </w:rPr>
              <w:t>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rPr>
              <w:t>996</w:t>
            </w:r>
            <w:r>
              <w:rPr>
                <w:rFonts w:hint="eastAsia" w:ascii="宋体" w:hAnsi="宋体" w:cs="宋体"/>
                <w:color w:val="000000"/>
                <w:szCs w:val="21"/>
                <w:lang w:val="en-US" w:eastAsia="zh-CN"/>
              </w:rPr>
              <w:t>.</w:t>
            </w:r>
            <w:r>
              <w:rPr>
                <w:rFonts w:hint="eastAsia" w:ascii="宋体" w:hAnsi="宋体" w:cs="宋体"/>
                <w:color w:val="000000"/>
                <w:szCs w:val="21"/>
              </w:rPr>
              <w:t>5</w:t>
            </w:r>
            <w:r>
              <w:rPr>
                <w:rFonts w:hint="eastAsia" w:ascii="宋体" w:hAnsi="宋体" w:cs="宋体"/>
                <w:color w:val="000000"/>
                <w:szCs w:val="21"/>
                <w:lang w:val="en-US" w:eastAsia="zh-CN"/>
              </w:rPr>
              <w:t>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769.76</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143.21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626.55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宣传事务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769.76</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143.21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626.55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2013301</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143.21</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143.21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2013302</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24.55</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24.55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2013399</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其他宣传事务支出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602.00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602.00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教育支出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20509</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教育费附加安排的支出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2050999</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2070108</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文化活动</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2070199</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其他文化体育与传媒支出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2079902</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宣传文化发展专项支出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cs="宋体"/>
          <w:b/>
          <w:bCs/>
          <w:color w:val="FF0000"/>
          <w:sz w:val="32"/>
          <w:szCs w:val="32"/>
        </w:rPr>
      </w:pPr>
    </w:p>
    <w:p>
      <w:pPr>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9151" w:type="dxa"/>
        <w:tblInd w:w="-238" w:type="dxa"/>
        <w:tblLayout w:type="fixed"/>
        <w:tblCellMar>
          <w:top w:w="15" w:type="dxa"/>
          <w:left w:w="15" w:type="dxa"/>
          <w:bottom w:w="15" w:type="dxa"/>
          <w:right w:w="15" w:type="dxa"/>
        </w:tblCellMar>
      </w:tblPr>
      <w:tblGrid>
        <w:gridCol w:w="1489"/>
        <w:gridCol w:w="1004"/>
        <w:gridCol w:w="2428"/>
        <w:gridCol w:w="1532"/>
        <w:gridCol w:w="1209"/>
        <w:gridCol w:w="1489"/>
      </w:tblGrid>
      <w:tr>
        <w:tblPrEx>
          <w:tblCellMar>
            <w:top w:w="15" w:type="dxa"/>
            <w:left w:w="15" w:type="dxa"/>
            <w:bottom w:w="15" w:type="dxa"/>
            <w:right w:w="15" w:type="dxa"/>
          </w:tblCellMar>
        </w:tblPrEx>
        <w:trPr>
          <w:trHeight w:val="367" w:hRule="atLeast"/>
        </w:trPr>
        <w:tc>
          <w:tcPr>
            <w:tcW w:w="2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665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770"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765</w:t>
            </w:r>
            <w:r>
              <w:rPr>
                <w:rFonts w:hint="eastAsia" w:ascii="宋体" w:hAnsi="宋体" w:cs="宋体"/>
                <w:color w:val="000000"/>
                <w:szCs w:val="21"/>
                <w:lang w:val="en-US" w:eastAsia="zh-CN"/>
              </w:rPr>
              <w:t>.</w:t>
            </w:r>
            <w:r>
              <w:rPr>
                <w:rFonts w:hint="eastAsia" w:ascii="宋体" w:hAnsi="宋体" w:cs="宋体"/>
                <w:color w:val="000000"/>
                <w:szCs w:val="21"/>
              </w:rPr>
              <w:t>96273</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769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6</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370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58</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07</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7</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4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4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532" w:type="dxa"/>
            <w:tcBorders>
              <w:top w:val="single" w:color="000000" w:sz="4" w:space="0"/>
              <w:bottom w:val="single" w:color="000000" w:sz="4" w:space="0"/>
              <w:right w:val="single" w:color="000000" w:sz="4" w:space="0"/>
            </w:tcBorders>
            <w:vAlign w:val="center"/>
          </w:tcPr>
          <w:p>
            <w:pPr>
              <w:widowControl/>
              <w:ind w:firstLine="22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09" w:type="dxa"/>
            <w:tcBorders>
              <w:top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48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1227</w:t>
            </w:r>
            <w:r>
              <w:rPr>
                <w:rFonts w:hint="eastAsia" w:ascii="宋体" w:hAnsi="宋体" w:cs="宋体"/>
                <w:color w:val="000000"/>
                <w:kern w:val="0"/>
                <w:szCs w:val="21"/>
                <w:lang w:val="en-US" w:eastAsia="zh-CN"/>
              </w:rPr>
              <w:t>.</w:t>
            </w:r>
            <w:r>
              <w:rPr>
                <w:rFonts w:hint="eastAsia" w:ascii="宋体" w:hAnsi="宋体" w:cs="宋体"/>
                <w:color w:val="000000"/>
                <w:kern w:val="0"/>
                <w:szCs w:val="21"/>
              </w:rPr>
              <w:t xml:space="preserve">92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1219</w:t>
            </w:r>
            <w:r>
              <w:rPr>
                <w:rFonts w:hint="eastAsia" w:ascii="宋体" w:hAnsi="宋体" w:cs="宋体"/>
                <w:b/>
                <w:color w:val="000000"/>
                <w:kern w:val="0"/>
                <w:szCs w:val="21"/>
                <w:lang w:val="en-US" w:eastAsia="zh-CN"/>
              </w:rPr>
              <w:t>.</w:t>
            </w:r>
            <w:r>
              <w:rPr>
                <w:rFonts w:hint="eastAsia" w:ascii="宋体" w:hAnsi="宋体" w:cs="宋体"/>
                <w:b/>
                <w:color w:val="000000"/>
                <w:kern w:val="0"/>
                <w:szCs w:val="21"/>
              </w:rPr>
              <w:t>26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1219.26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163</w:t>
            </w:r>
            <w:r>
              <w:rPr>
                <w:rFonts w:hint="eastAsia" w:ascii="宋体" w:hAnsi="宋体" w:cs="宋体"/>
                <w:b/>
                <w:color w:val="000000"/>
                <w:kern w:val="0"/>
                <w:szCs w:val="21"/>
                <w:lang w:val="en-US" w:eastAsia="zh-CN"/>
              </w:rPr>
              <w:t>.</w:t>
            </w:r>
            <w:r>
              <w:rPr>
                <w:rFonts w:hint="eastAsia" w:ascii="宋体" w:hAnsi="宋体" w:cs="宋体"/>
                <w:b/>
                <w:color w:val="000000"/>
                <w:kern w:val="0"/>
                <w:szCs w:val="21"/>
              </w:rPr>
              <w:t>94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tabs>
                <w:tab w:val="left" w:pos="353"/>
              </w:tabs>
              <w:jc w:val="left"/>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172</w:t>
            </w:r>
            <w:r>
              <w:rPr>
                <w:rFonts w:hint="eastAsia" w:ascii="宋体" w:hAnsi="宋体" w:cs="宋体"/>
                <w:b/>
                <w:color w:val="000000"/>
                <w:kern w:val="0"/>
                <w:szCs w:val="21"/>
                <w:lang w:val="en-US" w:eastAsia="zh-CN"/>
              </w:rPr>
              <w:t>.</w:t>
            </w:r>
            <w:r>
              <w:rPr>
                <w:rFonts w:hint="eastAsia" w:ascii="宋体" w:hAnsi="宋体" w:cs="宋体"/>
                <w:b/>
                <w:color w:val="000000"/>
                <w:kern w:val="0"/>
                <w:szCs w:val="21"/>
                <w:lang w:eastAsia="zh-CN"/>
              </w:rPr>
              <w:t>6</w:t>
            </w:r>
            <w:r>
              <w:rPr>
                <w:rFonts w:hint="eastAsia" w:ascii="宋体" w:hAnsi="宋体" w:cs="宋体"/>
                <w:b/>
                <w:color w:val="000000"/>
                <w:kern w:val="0"/>
                <w:szCs w:val="21"/>
                <w:lang w:val="en-US" w:eastAsia="zh-CN"/>
              </w:rPr>
              <w:t>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lang w:eastAsia="zh-CN"/>
              </w:rPr>
              <w:t>172</w:t>
            </w:r>
            <w:r>
              <w:rPr>
                <w:rFonts w:hint="eastAsia" w:ascii="宋体" w:hAnsi="宋体" w:cs="宋体"/>
                <w:b/>
                <w:color w:val="000000"/>
                <w:kern w:val="0"/>
                <w:szCs w:val="21"/>
                <w:lang w:val="en-US" w:eastAsia="zh-CN"/>
              </w:rPr>
              <w:t>.</w:t>
            </w:r>
            <w:r>
              <w:rPr>
                <w:rFonts w:hint="eastAsia" w:ascii="宋体" w:hAnsi="宋体" w:cs="宋体"/>
                <w:b/>
                <w:color w:val="000000"/>
                <w:kern w:val="0"/>
                <w:szCs w:val="21"/>
                <w:lang w:eastAsia="zh-CN"/>
              </w:rPr>
              <w:t>6</w:t>
            </w:r>
            <w:r>
              <w:rPr>
                <w:rFonts w:hint="eastAsia" w:ascii="宋体" w:hAnsi="宋体" w:cs="宋体"/>
                <w:b/>
                <w:color w:val="000000"/>
                <w:kern w:val="0"/>
                <w:szCs w:val="21"/>
                <w:lang w:val="en-US" w:eastAsia="zh-CN"/>
              </w:rPr>
              <w:t>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1214.82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1391.87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42"/>
              </w:tabs>
              <w:jc w:val="left"/>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ab/>
            </w:r>
            <w:r>
              <w:rPr>
                <w:rFonts w:hint="eastAsia" w:ascii="宋体" w:hAnsi="宋体" w:cs="宋体"/>
                <w:b/>
                <w:color w:val="000000"/>
                <w:kern w:val="0"/>
                <w:szCs w:val="21"/>
                <w:lang w:eastAsia="zh-CN"/>
              </w:rPr>
              <w:t>1391.87</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lang w:eastAsia="zh-CN"/>
              </w:rPr>
              <w:t>1391.87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一般公共预算财政拨款支出决算表</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1,214.82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218.28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122.99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95.29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996.55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eastAsia="zh-CN"/>
              </w:rPr>
            </w:pPr>
            <w:r>
              <w:rPr>
                <w:rFonts w:hint="eastAsia" w:ascii="宋体" w:hAnsi="宋体" w:eastAsia="宋体" w:cs="宋体"/>
                <w:i w:val="0"/>
                <w:color w:val="000000"/>
                <w:kern w:val="0"/>
                <w:sz w:val="22"/>
                <w:szCs w:val="22"/>
                <w:u w:val="none"/>
                <w:lang w:val="en-US" w:eastAsia="zh-CN" w:bidi="ar"/>
              </w:rPr>
              <w:t>765.31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138.77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101.48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37.29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626.55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宣传事务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765.31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138.77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101.48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37.29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626.55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138.77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138.77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101.48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37.29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24.55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24.55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2013399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其他宣传事务支出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602.00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教育支出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教育费附加安排的支出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2050999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文化活动</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其他文化体育与传媒支出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宣传文化发展专项支出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218.28</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122.99</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95.29</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515"/>
              </w:tabs>
              <w:jc w:val="center"/>
              <w:rPr>
                <w:rFonts w:hint="eastAsia" w:ascii="宋体" w:hAnsi="宋体" w:eastAsia="宋体" w:cs="宋体"/>
                <w:color w:val="000000"/>
                <w:szCs w:val="21"/>
                <w:lang w:eastAsia="zh-CN"/>
              </w:rPr>
            </w:pPr>
            <w:r>
              <w:rPr>
                <w:rFonts w:hint="eastAsia" w:ascii="宋体" w:hAnsi="宋体" w:cs="宋体"/>
                <w:b/>
                <w:color w:val="000000"/>
                <w:szCs w:val="21"/>
              </w:rPr>
              <w:t>121.71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1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18.47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448"/>
              </w:tabs>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38.11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15.32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10.78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11.72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4.98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5.43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0.82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16.08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268"/>
              </w:tabs>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95.29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95.29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10.94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10.94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3</w:t>
            </w:r>
            <w:r>
              <w:rPr>
                <w:rFonts w:hint="eastAsia" w:ascii="宋体" w:hAnsi="宋体" w:cs="宋体"/>
                <w:color w:val="000000"/>
                <w:kern w:val="0"/>
                <w:szCs w:val="21"/>
                <w:lang w:val="en-US" w:eastAsia="zh-CN"/>
              </w:rPr>
              <w:t>0205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568"/>
              </w:tabs>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0.15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tabs>
                <w:tab w:val="left" w:pos="568"/>
              </w:tabs>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0.15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5.28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2.3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租赁费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会议费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1.25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2.77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2.77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20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1.44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1.44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6.55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6.55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3</w:t>
            </w:r>
            <w:r>
              <w:rPr>
                <w:rFonts w:hint="eastAsia" w:ascii="宋体" w:hAnsi="宋体" w:cs="宋体"/>
                <w:color w:val="000000"/>
                <w:kern w:val="0"/>
                <w:szCs w:val="21"/>
                <w:lang w:val="en-US" w:eastAsia="zh-CN"/>
              </w:rPr>
              <w:t>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30306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救济费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0.18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3</w:t>
            </w:r>
            <w:r>
              <w:rPr>
                <w:rFonts w:hint="eastAsia" w:ascii="宋体" w:hAnsi="宋体" w:cs="宋体"/>
                <w:color w:val="000000"/>
                <w:kern w:val="0"/>
                <w:szCs w:val="21"/>
                <w:lang w:val="en-US" w:eastAsia="zh-CN"/>
              </w:rPr>
              <w:t>0307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医疗费补助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5</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5.8</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6.56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6</w:t>
            </w:r>
            <w:r>
              <w:rPr>
                <w:rFonts w:hint="eastAsia" w:ascii="宋体" w:hAnsi="宋体" w:cs="宋体"/>
                <w:b/>
                <w:color w:val="000000"/>
                <w:szCs w:val="21"/>
                <w:lang w:val="en-US" w:eastAsia="zh-CN"/>
              </w:rPr>
              <w:t>.</w:t>
            </w:r>
            <w:r>
              <w:rPr>
                <w:rFonts w:hint="eastAsia" w:ascii="宋体" w:hAnsi="宋体" w:cs="宋体"/>
                <w:b/>
                <w:color w:val="000000"/>
                <w:szCs w:val="21"/>
              </w:rPr>
              <w:t>56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w:t>
            </w:r>
            <w:r>
              <w:rPr>
                <w:rFonts w:hint="eastAsia" w:ascii="宋体" w:hAnsi="宋体" w:cs="宋体"/>
                <w:b/>
                <w:color w:val="000000"/>
                <w:szCs w:val="21"/>
                <w:lang w:val="en-US" w:eastAsia="zh-CN"/>
              </w:rPr>
              <w:t>.</w:t>
            </w:r>
            <w:r>
              <w:rPr>
                <w:rFonts w:hint="eastAsia" w:ascii="宋体" w:hAnsi="宋体" w:cs="宋体"/>
                <w:b/>
                <w:color w:val="000000"/>
                <w:szCs w:val="21"/>
              </w:rPr>
              <w:t>2</w:t>
            </w:r>
            <w:r>
              <w:rPr>
                <w:rFonts w:hint="eastAsia" w:ascii="宋体" w:hAnsi="宋体" w:cs="宋体"/>
                <w:b/>
                <w:color w:val="000000"/>
                <w:szCs w:val="21"/>
                <w:lang w:val="en-US" w:eastAsia="zh-CN"/>
              </w:rPr>
              <w:t>5</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w:t>
            </w:r>
            <w:r>
              <w:rPr>
                <w:rFonts w:hint="eastAsia" w:ascii="宋体" w:hAnsi="宋体" w:cs="宋体"/>
                <w:b/>
                <w:color w:val="000000"/>
                <w:szCs w:val="21"/>
                <w:lang w:val="en-US" w:eastAsia="zh-CN"/>
              </w:rPr>
              <w:t>.</w:t>
            </w:r>
            <w:r>
              <w:rPr>
                <w:rFonts w:hint="eastAsia" w:ascii="宋体" w:hAnsi="宋体" w:cs="宋体"/>
                <w:b/>
                <w:color w:val="000000"/>
                <w:szCs w:val="21"/>
              </w:rPr>
              <w:t>77</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019年</w:t>
      </w:r>
      <w:r>
        <w:rPr>
          <w:rFonts w:hint="eastAsia" w:ascii="仿宋_GB2312" w:hAnsi="仿宋" w:eastAsia="仿宋_GB2312"/>
          <w:sz w:val="32"/>
          <w:szCs w:val="32"/>
          <w:lang w:eastAsia="zh-CN"/>
        </w:rPr>
        <w:t>度</w:t>
      </w:r>
      <w:r>
        <w:rPr>
          <w:rFonts w:hint="eastAsia" w:ascii="仿宋_GB2312" w:hAnsi="仿宋" w:eastAsia="仿宋_GB2312"/>
          <w:sz w:val="32"/>
          <w:szCs w:val="32"/>
        </w:rPr>
        <w:t>收入</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1227.92</w:t>
      </w:r>
      <w:r>
        <w:rPr>
          <w:rFonts w:hint="eastAsia" w:ascii="仿宋_GB2312" w:hAnsi="仿宋" w:eastAsia="仿宋_GB2312"/>
          <w:sz w:val="32"/>
          <w:szCs w:val="32"/>
          <w:lang w:eastAsia="zh-CN"/>
        </w:rPr>
        <w:t>万元，较上年</w:t>
      </w:r>
      <w:r>
        <w:rPr>
          <w:rFonts w:hint="eastAsia" w:ascii="仿宋_GB2312" w:hAnsi="仿宋" w:eastAsia="仿宋_GB2312"/>
          <w:sz w:val="32"/>
          <w:szCs w:val="32"/>
          <w:lang w:val="en-US" w:eastAsia="zh-CN"/>
        </w:rPr>
        <w:t>相比</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243.76万元</w:t>
      </w:r>
      <w:r>
        <w:rPr>
          <w:rFonts w:hint="eastAsia" w:ascii="仿宋_GB2312" w:hAnsi="仿宋" w:eastAsia="仿宋_GB2312"/>
          <w:sz w:val="32"/>
          <w:szCs w:val="32"/>
        </w:rPr>
        <w:t>，主要原因</w:t>
      </w:r>
      <w:r>
        <w:rPr>
          <w:rFonts w:hint="eastAsia" w:ascii="仿宋_GB2312" w:hAnsi="仿宋" w:eastAsia="仿宋_GB2312"/>
          <w:sz w:val="32"/>
          <w:szCs w:val="32"/>
          <w:lang w:eastAsia="zh-CN"/>
        </w:rPr>
        <w:t>压减了经费支出</w:t>
      </w:r>
      <w:r>
        <w:rPr>
          <w:rFonts w:hint="eastAsia" w:ascii="仿宋_GB2312" w:hAnsi="仿宋" w:eastAsia="仿宋_GB2312"/>
          <w:sz w:val="32"/>
          <w:szCs w:val="32"/>
        </w:rPr>
        <w:t>。</w:t>
      </w:r>
    </w:p>
    <w:p>
      <w:pPr>
        <w:widowControl/>
        <w:ind w:firstLine="420" w:firstLineChars="200"/>
        <w:jc w:val="left"/>
        <w:rPr>
          <w:rFonts w:hint="eastAsia" w:ascii="仿宋_GB2312" w:hAnsi="仿宋" w:eastAsia="仿宋_GB2312"/>
          <w:sz w:val="32"/>
          <w:szCs w:val="32"/>
          <w:lang w:eastAsia="zh-CN"/>
        </w:rPr>
      </w:pPr>
      <w:r>
        <w:rPr>
          <w:rFonts w:hint="eastAsia"/>
          <w:lang w:val="en-US" w:eastAsia="zh-CN"/>
        </w:rPr>
        <w:t xml:space="preserve">      </w:t>
      </w:r>
      <w:r>
        <w:drawing>
          <wp:inline distT="0" distB="0" distL="114300" distR="114300">
            <wp:extent cx="4305300" cy="1838960"/>
            <wp:effectExtent l="4445" t="4445" r="14605" b="234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hint="eastAsia" w:ascii="仿宋_GB2312" w:hAnsi="仿宋" w:eastAsia="仿宋_GB2312"/>
          <w:sz w:val="32"/>
          <w:szCs w:val="32"/>
          <w:lang w:eastAsia="zh-CN"/>
        </w:rPr>
        <w:t>度支出合计1219.26万元，较上年</w:t>
      </w:r>
      <w:r>
        <w:rPr>
          <w:rFonts w:hint="eastAsia" w:ascii="仿宋_GB2312" w:hAnsi="仿宋" w:eastAsia="仿宋_GB2312"/>
          <w:sz w:val="32"/>
          <w:szCs w:val="32"/>
          <w:lang w:val="en-US" w:eastAsia="zh-CN"/>
        </w:rPr>
        <w:t>相比</w:t>
      </w:r>
      <w:r>
        <w:rPr>
          <w:rFonts w:hint="eastAsia" w:ascii="仿宋_GB2312" w:hAnsi="仿宋" w:eastAsia="仿宋_GB2312"/>
          <w:sz w:val="32"/>
          <w:szCs w:val="32"/>
        </w:rPr>
        <w:t>增</w:t>
      </w:r>
      <w:r>
        <w:rPr>
          <w:rFonts w:hint="eastAsia" w:ascii="仿宋_GB2312" w:hAnsi="仿宋" w:eastAsia="仿宋_GB2312"/>
          <w:sz w:val="32"/>
          <w:szCs w:val="32"/>
          <w:lang w:eastAsia="zh-CN"/>
        </w:rPr>
        <w:t>加</w:t>
      </w:r>
      <w:r>
        <w:rPr>
          <w:rFonts w:hint="eastAsia" w:ascii="仿宋_GB2312" w:hAnsi="仿宋" w:eastAsia="仿宋_GB2312"/>
          <w:sz w:val="32"/>
          <w:szCs w:val="32"/>
          <w:lang w:val="en-US" w:eastAsia="zh-CN"/>
        </w:rPr>
        <w:t>385.24万元</w:t>
      </w:r>
      <w:r>
        <w:rPr>
          <w:rFonts w:hint="eastAsia" w:ascii="仿宋_GB2312" w:hAnsi="仿宋" w:eastAsia="仿宋_GB2312"/>
          <w:sz w:val="32"/>
          <w:szCs w:val="32"/>
        </w:rPr>
        <w:t>，主要原因</w:t>
      </w:r>
      <w:r>
        <w:rPr>
          <w:rFonts w:hint="eastAsia" w:ascii="仿宋_GB2312" w:hAnsi="仿宋" w:eastAsia="仿宋_GB2312"/>
          <w:sz w:val="32"/>
          <w:szCs w:val="32"/>
          <w:lang w:eastAsia="zh-CN"/>
        </w:rPr>
        <w:t>压减了经费支出</w:t>
      </w:r>
      <w:r>
        <w:rPr>
          <w:rFonts w:hint="eastAsia" w:ascii="仿宋_GB2312" w:hAnsi="仿宋" w:eastAsia="仿宋_GB2312"/>
          <w:sz w:val="32"/>
          <w:szCs w:val="32"/>
        </w:rPr>
        <w:t>。</w:t>
      </w:r>
    </w:p>
    <w:p>
      <w:pPr>
        <w:widowControl/>
        <w:ind w:firstLine="420" w:firstLineChars="200"/>
        <w:jc w:val="left"/>
        <w:rPr>
          <w:rFonts w:hint="eastAsia" w:ascii="仿宋_GB2312" w:hAnsi="仿宋" w:eastAsia="仿宋_GB2312"/>
          <w:sz w:val="32"/>
          <w:szCs w:val="32"/>
        </w:rPr>
      </w:pPr>
      <w:r>
        <w:rPr>
          <w:rFonts w:hint="eastAsia"/>
          <w:lang w:val="en-US" w:eastAsia="zh-CN"/>
        </w:rPr>
        <w:t xml:space="preserve">        </w:t>
      </w:r>
      <w:r>
        <w:drawing>
          <wp:inline distT="0" distB="0" distL="114300" distR="114300">
            <wp:extent cx="4038600" cy="2162810"/>
            <wp:effectExtent l="4445" t="4445" r="14605" b="2349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eastAsia" w:ascii="仿宋_GB2312" w:hAnsi="仿宋" w:eastAsia="仿宋_GB2312"/>
          <w:sz w:val="32"/>
          <w:szCs w:val="32"/>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eastAsia="zh-CN" w:bidi="ar"/>
        </w:rPr>
        <w:t>1227.92</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eastAsia="zh-CN" w:bidi="ar"/>
        </w:rPr>
        <w:t>1214.82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98.93</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eastAsia="zh-CN" w:bidi="ar"/>
        </w:rPr>
        <w:t>13.1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（加图）</w:t>
      </w:r>
    </w:p>
    <w:p>
      <w:pPr>
        <w:widowControl/>
        <w:ind w:firstLine="420" w:firstLineChars="200"/>
        <w:jc w:val="left"/>
        <w:rPr>
          <w:rFonts w:hint="eastAsia" w:ascii="仿宋_GB2312" w:hAnsi="宋体" w:eastAsia="仿宋_GB2312" w:cs="仿宋_GB2312"/>
          <w:color w:val="000000"/>
          <w:kern w:val="0"/>
          <w:sz w:val="32"/>
          <w:szCs w:val="32"/>
          <w:lang w:eastAsia="zh-CN" w:bidi="ar"/>
        </w:rPr>
      </w:pPr>
      <w:r>
        <w:rPr>
          <w:rFonts w:hint="eastAsia"/>
          <w:lang w:val="en-US" w:eastAsia="zh-CN"/>
        </w:rPr>
        <w:t xml:space="preserve">     </w:t>
      </w:r>
      <w:r>
        <w:drawing>
          <wp:inline distT="0" distB="0" distL="114300" distR="114300">
            <wp:extent cx="4572000" cy="2743200"/>
            <wp:effectExtent l="4445" t="4445" r="1460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eastAsia="zh-CN" w:bidi="ar"/>
        </w:rPr>
        <w:t>1219.26</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eastAsia="zh-CN" w:bidi="ar"/>
        </w:rPr>
        <w:t>222</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eastAsia="zh-CN" w:bidi="ar"/>
        </w:rPr>
        <w:t>7</w:t>
      </w:r>
      <w:r>
        <w:rPr>
          <w:rFonts w:hint="eastAsia" w:ascii="仿宋_GB2312" w:hAnsi="宋体" w:eastAsia="仿宋_GB2312" w:cs="仿宋_GB2312"/>
          <w:color w:val="000000"/>
          <w:kern w:val="0"/>
          <w:sz w:val="32"/>
          <w:szCs w:val="32"/>
          <w:lang w:val="en-US" w:eastAsia="zh-CN" w:bidi="ar"/>
        </w:rPr>
        <w:t>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18.27</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eastAsia="zh-CN" w:bidi="ar"/>
        </w:rPr>
        <w:t>996.5</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81.73</w:t>
      </w:r>
      <w:r>
        <w:rPr>
          <w:rFonts w:ascii="仿宋_GB2312" w:hAnsi="宋体" w:eastAsia="仿宋_GB2312" w:cs="仿宋_GB2312"/>
          <w:color w:val="000000"/>
          <w:kern w:val="0"/>
          <w:sz w:val="32"/>
          <w:szCs w:val="32"/>
          <w:lang w:bidi="ar"/>
        </w:rPr>
        <w:t>%。</w:t>
      </w:r>
    </w:p>
    <w:p>
      <w:pPr>
        <w:widowControl/>
        <w:ind w:firstLine="420" w:firstLineChars="200"/>
        <w:jc w:val="left"/>
        <w:rPr>
          <w:rFonts w:hint="eastAsia" w:ascii="黑体" w:hAnsi="黑体" w:eastAsia="黑体"/>
          <w:color w:val="000000"/>
          <w:kern w:val="0"/>
          <w:sz w:val="32"/>
          <w:szCs w:val="32"/>
          <w:lang w:bidi="ar"/>
        </w:rPr>
      </w:pPr>
      <w:r>
        <w:rPr>
          <w:rFonts w:hint="eastAsia"/>
          <w:lang w:val="en-US" w:eastAsia="zh-CN"/>
        </w:rPr>
        <w:t xml:space="preserve">       </w:t>
      </w: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收入1214.82</w:t>
      </w:r>
      <w:r>
        <w:rPr>
          <w:rFonts w:hint="eastAsia" w:ascii="仿宋_GB2312" w:hAnsi="仿宋" w:eastAsia="仿宋_GB2312"/>
          <w:sz w:val="32"/>
          <w:szCs w:val="32"/>
          <w:lang w:eastAsia="zh-CN"/>
        </w:rPr>
        <w:t>万元，较上年</w:t>
      </w:r>
      <w:r>
        <w:rPr>
          <w:rFonts w:hint="eastAsia" w:ascii="仿宋_GB2312" w:hAnsi="仿宋" w:eastAsia="仿宋_GB2312"/>
          <w:sz w:val="32"/>
          <w:szCs w:val="32"/>
          <w:lang w:val="en-US" w:eastAsia="zh-CN"/>
        </w:rPr>
        <w:t>相比</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238.69万元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主要原因为</w:t>
      </w:r>
      <w:r>
        <w:rPr>
          <w:rFonts w:hint="eastAsia" w:ascii="仿宋_GB2312" w:hAnsi="仿宋" w:eastAsia="仿宋_GB2312"/>
          <w:sz w:val="32"/>
          <w:szCs w:val="32"/>
          <w:lang w:eastAsia="zh-CN"/>
        </w:rPr>
        <w:t>压减了宣传、文化等专项资金</w:t>
      </w:r>
      <w:r>
        <w:rPr>
          <w:rFonts w:hint="eastAsia" w:ascii="仿宋_GB2312" w:hAnsi="仿宋" w:eastAsia="仿宋_GB2312"/>
          <w:sz w:val="32"/>
          <w:szCs w:val="32"/>
        </w:rPr>
        <w:t>。</w:t>
      </w:r>
    </w:p>
    <w:p>
      <w:pPr>
        <w:widowControl/>
        <w:ind w:firstLine="420" w:firstLineChars="200"/>
        <w:jc w:val="left"/>
        <w:rPr>
          <w:rFonts w:hint="eastAsia" w:ascii="仿宋_GB2312" w:hAnsi="仿宋" w:eastAsia="仿宋_GB2312"/>
          <w:sz w:val="32"/>
          <w:szCs w:val="32"/>
          <w:lang w:eastAsia="zh-CN"/>
        </w:rPr>
      </w:pPr>
      <w:r>
        <w:rPr>
          <w:rFonts w:hint="eastAsia"/>
          <w:lang w:val="en-US" w:eastAsia="zh-CN"/>
        </w:rPr>
        <w:t xml:space="preserve">     </w:t>
      </w: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支出1214.82</w:t>
      </w:r>
      <w:r>
        <w:rPr>
          <w:rFonts w:hint="eastAsia" w:ascii="仿宋_GB2312" w:hAnsi="仿宋" w:eastAsia="仿宋_GB2312"/>
          <w:sz w:val="32"/>
          <w:szCs w:val="32"/>
          <w:lang w:eastAsia="zh-CN"/>
        </w:rPr>
        <w:t>万元，较上年</w:t>
      </w:r>
      <w:r>
        <w:rPr>
          <w:rFonts w:hint="eastAsia" w:ascii="仿宋_GB2312" w:hAnsi="仿宋" w:eastAsia="仿宋_GB2312"/>
          <w:sz w:val="32"/>
          <w:szCs w:val="32"/>
          <w:lang w:val="en-US" w:eastAsia="zh-CN"/>
        </w:rPr>
        <w:t>相比</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234.25万元</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主要原因为</w:t>
      </w:r>
      <w:r>
        <w:rPr>
          <w:rFonts w:hint="eastAsia" w:ascii="仿宋_GB2312" w:hAnsi="宋体" w:eastAsia="仿宋_GB2312" w:cs="仿宋_GB2312"/>
          <w:color w:val="000000"/>
          <w:kern w:val="0"/>
          <w:sz w:val="32"/>
          <w:szCs w:val="32"/>
          <w:lang w:eastAsia="zh-CN" w:bidi="ar"/>
        </w:rPr>
        <w:t>减少了宣传、文化等专项资金支出</w:t>
      </w:r>
      <w:r>
        <w:rPr>
          <w:rFonts w:hint="eastAsia" w:ascii="仿宋_GB2312" w:hAnsi="宋体" w:eastAsia="仿宋_GB2312" w:cs="仿宋_GB2312"/>
          <w:color w:val="000000"/>
          <w:kern w:val="0"/>
          <w:sz w:val="32"/>
          <w:szCs w:val="32"/>
          <w:lang w:bidi="ar"/>
        </w:rPr>
        <w:t>。</w:t>
      </w:r>
    </w:p>
    <w:p>
      <w:pPr>
        <w:widowControl/>
        <w:ind w:firstLine="420" w:firstLineChars="200"/>
        <w:jc w:val="left"/>
        <w:rPr>
          <w:rFonts w:hint="eastAsia" w:ascii="仿宋_GB2312" w:hAnsi="仿宋" w:eastAsia="仿宋_GB2312"/>
          <w:sz w:val="32"/>
          <w:szCs w:val="32"/>
          <w:lang w:eastAsia="zh-CN"/>
        </w:rPr>
      </w:pPr>
      <w:r>
        <w:rPr>
          <w:rFonts w:hint="eastAsia"/>
          <w:lang w:val="en-US" w:eastAsia="zh-CN"/>
        </w:rPr>
        <w:t xml:space="preserve">     </w:t>
      </w:r>
      <w:r>
        <w:drawing>
          <wp:inline distT="0" distB="0" distL="114300" distR="114300">
            <wp:extent cx="4572000" cy="2743200"/>
            <wp:effectExtent l="4445" t="4445" r="14605" b="14605"/>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FF0000"/>
          <w:kern w:val="0"/>
          <w:sz w:val="32"/>
          <w:szCs w:val="32"/>
          <w:lang w:eastAsia="zh-CN" w:bidi="ar"/>
        </w:rPr>
      </w:pPr>
      <w:r>
        <w:rPr>
          <w:rFonts w:ascii="仿宋_GB2312" w:hAnsi="宋体" w:eastAsia="仿宋_GB2312" w:cs="仿宋_GB2312"/>
          <w:color w:val="000000"/>
          <w:kern w:val="0"/>
          <w:sz w:val="32"/>
          <w:szCs w:val="32"/>
          <w:lang w:bidi="ar"/>
        </w:rPr>
        <w:t>2019 年财政拨款支出</w:t>
      </w:r>
      <w:r>
        <w:rPr>
          <w:rFonts w:hint="eastAsia" w:ascii="仿宋_GB2312" w:hAnsi="仿宋" w:eastAsia="仿宋_GB2312"/>
          <w:sz w:val="32"/>
          <w:szCs w:val="32"/>
        </w:rPr>
        <w:t>1214.82</w:t>
      </w:r>
      <w:r>
        <w:rPr>
          <w:rFonts w:hint="eastAsia" w:ascii="仿宋_GB2312" w:hAnsi="仿宋" w:eastAsia="仿宋_GB2312"/>
          <w:sz w:val="32"/>
          <w:szCs w:val="32"/>
          <w:lang w:eastAsia="zh-CN"/>
        </w:rPr>
        <w:t>万元</w:t>
      </w:r>
      <w:r>
        <w:rPr>
          <w:rFonts w:ascii="仿宋_GB2312" w:hAnsi="宋体" w:eastAsia="仿宋_GB2312" w:cs="仿宋_GB2312"/>
          <w:color w:val="000000"/>
          <w:kern w:val="0"/>
          <w:sz w:val="32"/>
          <w:szCs w:val="32"/>
          <w:lang w:bidi="ar"/>
        </w:rPr>
        <w:t>，占本年支出合计的</w:t>
      </w:r>
      <w:r>
        <w:rPr>
          <w:rFonts w:hint="eastAsia" w:ascii="仿宋_GB2312" w:hAnsi="宋体" w:eastAsia="仿宋_GB2312" w:cs="仿宋_GB2312"/>
          <w:color w:val="000000"/>
          <w:kern w:val="0"/>
          <w:sz w:val="32"/>
          <w:szCs w:val="32"/>
          <w:lang w:val="en-US" w:eastAsia="zh-CN" w:bidi="ar"/>
        </w:rPr>
        <w:t>87.6</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234.252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19.21</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宋体" w:eastAsia="仿宋_GB2312" w:cs="仿宋_GB2312"/>
          <w:color w:val="000000"/>
          <w:kern w:val="0"/>
          <w:sz w:val="32"/>
          <w:szCs w:val="32"/>
          <w:lang w:eastAsia="zh-CN" w:bidi="ar"/>
        </w:rPr>
        <w:t>宣传、文化等专项资金支出。</w:t>
      </w:r>
    </w:p>
    <w:p>
      <w:pPr>
        <w:widowControl/>
        <w:ind w:firstLine="420" w:firstLineChars="200"/>
        <w:jc w:val="left"/>
        <w:rPr>
          <w:rFonts w:hint="eastAsia" w:ascii="仿宋_GB2312" w:hAnsi="宋体" w:eastAsia="仿宋_GB2312" w:cs="仿宋_GB2312"/>
          <w:color w:val="FF0000"/>
          <w:kern w:val="0"/>
          <w:sz w:val="32"/>
          <w:szCs w:val="32"/>
          <w:lang w:eastAsia="zh-CN" w:bidi="ar"/>
        </w:rPr>
      </w:pPr>
      <w:r>
        <w:drawing>
          <wp:inline distT="0" distB="0" distL="114300" distR="114300">
            <wp:extent cx="4572000" cy="2743200"/>
            <wp:effectExtent l="4445" t="4445" r="14605" b="14605"/>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hint="eastAsia" w:ascii="仿宋_GB2312" w:hAnsi="宋体" w:eastAsia="仿宋_GB2312" w:cs="仿宋_GB2312"/>
          <w:color w:val="FF0000"/>
          <w:kern w:val="0"/>
          <w:sz w:val="32"/>
          <w:szCs w:val="32"/>
          <w:lang w:eastAsia="zh-CN" w:bidi="ar"/>
        </w:rPr>
      </w:pP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eastAsia="zh-CN" w:bidi="ar"/>
        </w:rPr>
        <w:t>765.96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1214.82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158.60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val="en-US" w:eastAsia="zh-CN" w:bidi="ar"/>
        </w:rPr>
      </w:pPr>
      <w:r>
        <w:rPr>
          <w:rFonts w:ascii="仿宋_GB2312" w:hAnsi="宋体" w:eastAsia="仿宋_GB2312" w:cs="仿宋_GB2312"/>
          <w:b/>
          <w:color w:val="000000"/>
          <w:kern w:val="0"/>
          <w:sz w:val="32"/>
          <w:szCs w:val="32"/>
          <w:lang w:bidi="ar"/>
        </w:rPr>
        <w:t>一般公共服务支出（类）</w:t>
      </w:r>
      <w:r>
        <w:rPr>
          <w:rFonts w:hint="eastAsia" w:ascii="仿宋_GB2312" w:hAnsi="宋体" w:eastAsia="仿宋_GB2312" w:cs="仿宋_GB2312"/>
          <w:b/>
          <w:color w:val="000000"/>
          <w:kern w:val="0"/>
          <w:sz w:val="32"/>
          <w:szCs w:val="32"/>
          <w:lang w:bidi="ar"/>
        </w:rPr>
        <w:t>宣传事务</w:t>
      </w:r>
      <w:r>
        <w:rPr>
          <w:rFonts w:ascii="仿宋_GB2312" w:hAnsi="宋体" w:eastAsia="仿宋_GB2312" w:cs="仿宋_GB2312"/>
          <w:b/>
          <w:color w:val="000000"/>
          <w:kern w:val="0"/>
          <w:sz w:val="32"/>
          <w:szCs w:val="32"/>
          <w:lang w:bidi="ar"/>
        </w:rPr>
        <w:t xml:space="preserve">（款）行政运行（项）。 </w:t>
      </w:r>
      <w:r>
        <w:rPr>
          <w:rFonts w:hint="eastAsia" w:ascii="仿宋_GB2312" w:hAnsi="宋体" w:eastAsia="仿宋_GB2312" w:cs="仿宋_GB2312"/>
          <w:b/>
          <w:color w:val="000000"/>
          <w:kern w:val="0"/>
          <w:sz w:val="32"/>
          <w:szCs w:val="32"/>
          <w:lang w:val="en-US" w:eastAsia="zh-CN" w:bidi="ar"/>
        </w:rPr>
        <w:t xml:space="preserve">  </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125.96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138.77</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110.17%，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大于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 xml:space="preserve">    。</w:t>
      </w:r>
    </w:p>
    <w:p>
      <w:pPr>
        <w:widowControl/>
        <w:numPr>
          <w:ilvl w:val="0"/>
          <w:numId w:val="1"/>
        </w:numPr>
        <w:ind w:left="0" w:leftChars="0" w:firstLine="643" w:firstLineChars="200"/>
        <w:jc w:val="left"/>
        <w:rPr>
          <w:rFonts w:hint="eastAsia" w:ascii="仿宋_GB2312" w:hAnsi="宋体" w:eastAsia="仿宋_GB2312" w:cs="仿宋_GB2312"/>
          <w:b/>
          <w:color w:val="000000"/>
          <w:kern w:val="0"/>
          <w:sz w:val="32"/>
          <w:szCs w:val="32"/>
          <w:lang w:val="en-US" w:eastAsia="zh-CN" w:bidi="ar"/>
        </w:rPr>
      </w:pPr>
      <w:r>
        <w:rPr>
          <w:rFonts w:ascii="仿宋_GB2312" w:hAnsi="宋体" w:eastAsia="仿宋_GB2312" w:cs="仿宋_GB2312"/>
          <w:b/>
          <w:color w:val="000000"/>
          <w:kern w:val="0"/>
          <w:sz w:val="32"/>
          <w:szCs w:val="32"/>
          <w:lang w:bidi="ar"/>
        </w:rPr>
        <w:t>一般公共服务支出（类）</w:t>
      </w:r>
      <w:r>
        <w:rPr>
          <w:rFonts w:hint="eastAsia" w:ascii="仿宋_GB2312" w:hAnsi="宋体" w:eastAsia="仿宋_GB2312" w:cs="仿宋_GB2312"/>
          <w:b/>
          <w:color w:val="000000"/>
          <w:kern w:val="0"/>
          <w:sz w:val="32"/>
          <w:szCs w:val="32"/>
          <w:lang w:bidi="ar"/>
        </w:rPr>
        <w:t>宣传事务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一般行政管理事务</w:t>
      </w:r>
      <w:r>
        <w:rPr>
          <w:rFonts w:ascii="仿宋_GB2312" w:hAnsi="宋体" w:eastAsia="仿宋_GB2312" w:cs="仿宋_GB2312"/>
          <w:b/>
          <w:color w:val="000000"/>
          <w:kern w:val="0"/>
          <w:sz w:val="32"/>
          <w:szCs w:val="32"/>
          <w:lang w:bidi="ar"/>
        </w:rPr>
        <w:t xml:space="preserve">（项）。 </w:t>
      </w:r>
      <w:r>
        <w:rPr>
          <w:rFonts w:hint="eastAsia" w:ascii="仿宋_GB2312" w:hAnsi="宋体" w:eastAsia="仿宋_GB2312" w:cs="仿宋_GB2312"/>
          <w:b/>
          <w:color w:val="000000"/>
          <w:kern w:val="0"/>
          <w:sz w:val="32"/>
          <w:szCs w:val="32"/>
          <w:lang w:val="en-US" w:eastAsia="zh-CN" w:bidi="ar"/>
        </w:rPr>
        <w:t xml:space="preserve">  </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24.55</w:t>
      </w:r>
      <w:r>
        <w:rPr>
          <w:rFonts w:ascii="仿宋_GB2312" w:hAnsi="宋体" w:eastAsia="仿宋_GB2312" w:cs="仿宋_GB2312"/>
          <w:color w:val="000000"/>
          <w:kern w:val="0"/>
          <w:sz w:val="32"/>
          <w:szCs w:val="32"/>
          <w:lang w:bidi="ar"/>
        </w:rPr>
        <w:t>万元，决算数</w:t>
      </w:r>
      <w:r>
        <w:rPr>
          <w:rFonts w:hint="eastAsia" w:ascii="仿宋_GB2312" w:hAnsi="宋体" w:eastAsia="仿宋_GB2312" w:cs="仿宋_GB2312"/>
          <w:color w:val="000000"/>
          <w:kern w:val="0"/>
          <w:sz w:val="32"/>
          <w:szCs w:val="32"/>
          <w:lang w:eastAsia="zh-CN" w:bidi="ar"/>
        </w:rPr>
        <w:t>大于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将其他宣传事务支出调整至</w:t>
      </w:r>
      <w:r>
        <w:rPr>
          <w:rFonts w:hint="eastAsia" w:ascii="仿宋_GB2312" w:hAnsi="宋体" w:eastAsia="仿宋_GB2312" w:cs="仿宋_GB2312"/>
          <w:color w:val="000000"/>
          <w:kern w:val="0"/>
          <w:sz w:val="32"/>
          <w:szCs w:val="32"/>
          <w:lang w:bidi="ar"/>
        </w:rPr>
        <w:t>一般行政管理事务</w:t>
      </w:r>
      <w:r>
        <w:rPr>
          <w:rFonts w:hint="eastAsia" w:ascii="仿宋_GB2312" w:hAnsi="宋体" w:eastAsia="仿宋_GB2312" w:cs="仿宋_GB2312"/>
          <w:color w:val="000000"/>
          <w:kern w:val="0"/>
          <w:sz w:val="32"/>
          <w:szCs w:val="32"/>
          <w:lang w:val="en-US" w:eastAsia="zh-CN" w:bidi="ar"/>
        </w:rPr>
        <w:t>。</w:t>
      </w:r>
    </w:p>
    <w:p>
      <w:pPr>
        <w:widowControl/>
        <w:numPr>
          <w:ilvl w:val="0"/>
          <w:numId w:val="1"/>
        </w:numPr>
        <w:ind w:left="0" w:leftChars="0"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color w:val="000000"/>
          <w:kern w:val="0"/>
          <w:sz w:val="32"/>
          <w:szCs w:val="32"/>
          <w:lang w:bidi="ar"/>
        </w:rPr>
        <w:t>一般公共服务支出（类）</w:t>
      </w:r>
      <w:r>
        <w:rPr>
          <w:rFonts w:hint="eastAsia" w:ascii="仿宋_GB2312" w:hAnsi="宋体" w:eastAsia="仿宋_GB2312" w:cs="仿宋_GB2312"/>
          <w:b/>
          <w:color w:val="000000"/>
          <w:kern w:val="0"/>
          <w:sz w:val="32"/>
          <w:szCs w:val="32"/>
          <w:lang w:bidi="ar"/>
        </w:rPr>
        <w:t>宣传事务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color w:val="000000"/>
          <w:kern w:val="0"/>
          <w:sz w:val="32"/>
          <w:szCs w:val="32"/>
          <w:lang w:val="en-US" w:eastAsia="zh-CN" w:bidi="ar"/>
        </w:rPr>
        <w:t>其他宣传事务支出（项）。</w:t>
      </w:r>
    </w:p>
    <w:p>
      <w:pPr>
        <w:widowControl/>
        <w:numPr>
          <w:ilvl w:val="0"/>
          <w:numId w:val="0"/>
        </w:numPr>
        <w:ind w:firstLine="960" w:firstLineChars="3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640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602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94.06%，</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将其他宣传事务支出预算部分调整至</w:t>
      </w:r>
      <w:r>
        <w:rPr>
          <w:rFonts w:hint="eastAsia" w:ascii="仿宋_GB2312" w:hAnsi="宋体" w:eastAsia="仿宋_GB2312" w:cs="仿宋_GB2312"/>
          <w:color w:val="000000"/>
          <w:kern w:val="0"/>
          <w:sz w:val="32"/>
          <w:szCs w:val="32"/>
          <w:lang w:bidi="ar"/>
        </w:rPr>
        <w:t>一般行政管理事务</w:t>
      </w:r>
      <w:r>
        <w:rPr>
          <w:rFonts w:hint="eastAsia" w:ascii="仿宋_GB2312" w:hAnsi="宋体" w:eastAsia="仿宋_GB2312" w:cs="仿宋_GB2312"/>
          <w:color w:val="000000"/>
          <w:kern w:val="0"/>
          <w:sz w:val="32"/>
          <w:szCs w:val="32"/>
          <w:lang w:val="en-US" w:eastAsia="zh-CN" w:bidi="ar"/>
        </w:rPr>
        <w:t>。</w:t>
      </w:r>
    </w:p>
    <w:p>
      <w:pPr>
        <w:widowControl/>
        <w:numPr>
          <w:ilvl w:val="0"/>
          <w:numId w:val="1"/>
        </w:numPr>
        <w:ind w:left="0" w:leftChars="0"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教育支出（类）教育费附加安排的支出（款）其他教育费附加安排的支出（项）</w:t>
      </w:r>
      <w:r>
        <w:rPr>
          <w:rFonts w:hint="eastAsia" w:ascii="仿宋_GB2312" w:hAnsi="宋体" w:eastAsia="仿宋_GB2312" w:cs="仿宋_GB2312"/>
          <w:color w:val="000000"/>
          <w:kern w:val="0"/>
          <w:sz w:val="32"/>
          <w:szCs w:val="32"/>
          <w:lang w:val="en-US" w:eastAsia="zh-CN" w:bidi="ar"/>
        </w:rPr>
        <w:t>。</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default" w:ascii="仿宋_GB2312" w:hAnsi="宋体" w:eastAsia="仿宋_GB2312" w:cs="仿宋_GB2312"/>
          <w:color w:val="000000"/>
          <w:kern w:val="0"/>
          <w:sz w:val="32"/>
          <w:szCs w:val="32"/>
          <w:lang w:val="en-US" w:eastAsia="zh-CN" w:bidi="ar"/>
        </w:rPr>
        <w:t>370</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大于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根据工作安排追加了教育支出预算。</w:t>
      </w:r>
    </w:p>
    <w:p>
      <w:pPr>
        <w:widowControl/>
        <w:numPr>
          <w:ilvl w:val="0"/>
          <w:numId w:val="1"/>
        </w:numPr>
        <w:ind w:left="0" w:leftChars="0"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文化旅游体育与传媒支出（类）文化和旅游（款）文化活动（项）。</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default" w:ascii="仿宋_GB2312" w:hAnsi="宋体" w:eastAsia="仿宋_GB2312" w:cs="仿宋_GB2312"/>
          <w:color w:val="000000"/>
          <w:kern w:val="0"/>
          <w:sz w:val="32"/>
          <w:szCs w:val="32"/>
          <w:lang w:val="en-US" w:eastAsia="zh-CN" w:bidi="ar"/>
        </w:rPr>
        <w:t>30</w:t>
      </w:r>
      <w:r>
        <w:rPr>
          <w:rFonts w:ascii="仿宋_GB2312" w:hAnsi="宋体" w:eastAsia="仿宋_GB2312" w:cs="仿宋_GB2312"/>
          <w:color w:val="000000"/>
          <w:kern w:val="0"/>
          <w:sz w:val="32"/>
          <w:szCs w:val="32"/>
          <w:lang w:bidi="ar"/>
        </w:rPr>
        <w:t>万元，决算数</w:t>
      </w:r>
      <w:r>
        <w:rPr>
          <w:rFonts w:hint="eastAsia" w:ascii="仿宋_GB2312" w:hAnsi="宋体" w:eastAsia="仿宋_GB2312" w:cs="仿宋_GB2312"/>
          <w:color w:val="000000"/>
          <w:kern w:val="0"/>
          <w:sz w:val="32"/>
          <w:szCs w:val="32"/>
          <w:lang w:eastAsia="zh-CN" w:bidi="ar"/>
        </w:rPr>
        <w:t>大于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此项资金来源为上级补助资金。</w:t>
      </w:r>
    </w:p>
    <w:p>
      <w:pPr>
        <w:widowControl/>
        <w:numPr>
          <w:ilvl w:val="0"/>
          <w:numId w:val="1"/>
        </w:numPr>
        <w:ind w:left="0" w:leftChars="0"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文化旅游体育与传媒支出（类）文化和旅游（款）其他文化和旅游支出（项）。</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大于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此项资金来源为上级补助资金。</w:t>
      </w:r>
    </w:p>
    <w:p>
      <w:pPr>
        <w:widowControl/>
        <w:numPr>
          <w:ilvl w:val="0"/>
          <w:numId w:val="1"/>
        </w:numPr>
        <w:ind w:left="0" w:leftChars="0"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文化旅游体育与传媒支出（类）其他文化体育与传媒支出（款）宣传文化发展专项支出（项）。</w:t>
      </w:r>
    </w:p>
    <w:p>
      <w:pPr>
        <w:widowControl/>
        <w:numPr>
          <w:ilvl w:val="0"/>
          <w:numId w:val="0"/>
        </w:numPr>
        <w:ind w:firstLine="640" w:firstLineChars="200"/>
        <w:jc w:val="left"/>
        <w:rPr>
          <w:rFonts w:hint="eastAsia" w:ascii="仿宋_GB2312" w:hAnsi="宋体" w:eastAsia="仿宋_GB2312" w:cs="仿宋_GB2312"/>
          <w:b/>
          <w:bCs/>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万元，决算数</w:t>
      </w:r>
      <w:r>
        <w:rPr>
          <w:rFonts w:hint="eastAsia" w:ascii="仿宋_GB2312" w:hAnsi="宋体" w:eastAsia="仿宋_GB2312" w:cs="仿宋_GB2312"/>
          <w:color w:val="000000"/>
          <w:kern w:val="0"/>
          <w:sz w:val="32"/>
          <w:szCs w:val="32"/>
          <w:lang w:eastAsia="zh-CN" w:bidi="ar"/>
        </w:rPr>
        <w:t>大于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此项资金来源为上级补助资金。</w:t>
      </w:r>
    </w:p>
    <w:p>
      <w:pPr>
        <w:widowControl/>
        <w:numPr>
          <w:ilvl w:val="0"/>
          <w:numId w:val="1"/>
        </w:numPr>
        <w:ind w:left="0" w:leftChars="0"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卫生健康支出（类）行政事业单位医疗（款）行政单位医疗（项）。</w:t>
      </w:r>
    </w:p>
    <w:p>
      <w:pPr>
        <w:widowControl/>
        <w:numPr>
          <w:ilvl w:val="0"/>
          <w:numId w:val="0"/>
        </w:numPr>
        <w:ind w:firstLine="640" w:firstLineChars="200"/>
        <w:jc w:val="left"/>
        <w:rPr>
          <w:rFonts w:hint="eastAsia" w:ascii="仿宋_GB2312" w:hAnsi="宋体" w:eastAsia="仿宋_GB2312" w:cs="仿宋_GB2312"/>
          <w:b/>
          <w:bCs/>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5.43</w:t>
      </w:r>
      <w:r>
        <w:rPr>
          <w:rFonts w:ascii="仿宋_GB2312" w:hAnsi="宋体" w:eastAsia="仿宋_GB2312" w:cs="仿宋_GB2312"/>
          <w:color w:val="000000"/>
          <w:kern w:val="0"/>
          <w:sz w:val="32"/>
          <w:szCs w:val="32"/>
          <w:lang w:bidi="ar"/>
        </w:rPr>
        <w:t>万元，决算数</w:t>
      </w:r>
      <w:r>
        <w:rPr>
          <w:rFonts w:hint="eastAsia" w:ascii="仿宋_GB2312" w:hAnsi="宋体" w:eastAsia="仿宋_GB2312" w:cs="仿宋_GB2312"/>
          <w:color w:val="000000"/>
          <w:kern w:val="0"/>
          <w:sz w:val="32"/>
          <w:szCs w:val="32"/>
          <w:lang w:eastAsia="zh-CN" w:bidi="ar"/>
        </w:rPr>
        <w:t>大于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年初未列入预算，后结合实际调整。</w:t>
      </w:r>
    </w:p>
    <w:p>
      <w:pPr>
        <w:widowControl/>
        <w:numPr>
          <w:ilvl w:val="0"/>
          <w:numId w:val="0"/>
        </w:numPr>
        <w:ind w:leftChars="200"/>
        <w:jc w:val="left"/>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9.住房保障支出（类）住房改革支出（款）住房公积金（项）</w:t>
      </w:r>
    </w:p>
    <w:p>
      <w:pPr>
        <w:widowControl/>
        <w:numPr>
          <w:ilvl w:val="0"/>
          <w:numId w:val="0"/>
        </w:numPr>
        <w:ind w:firstLine="640" w:firstLineChars="200"/>
        <w:jc w:val="left"/>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5.43</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大于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年初未列入预算，后结合实际调整。</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both"/>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218.28</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eastAsia="zh-CN" w:bidi="ar"/>
        </w:rPr>
        <w:t>122.99</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eastAsia="zh-CN" w:bidi="ar"/>
        </w:rPr>
        <w:t>95.29</w:t>
      </w:r>
      <w:r>
        <w:rPr>
          <w:rFonts w:ascii="仿宋_GB2312" w:hAnsi="仿宋_GB2312" w:eastAsia="仿宋_GB2312" w:cs="仿宋_GB2312"/>
          <w:color w:val="000000"/>
          <w:kern w:val="0"/>
          <w:sz w:val="31"/>
          <w:szCs w:val="31"/>
          <w:lang w:bidi="ar"/>
        </w:rPr>
        <w:t>万元。</w:t>
      </w:r>
    </w:p>
    <w:p>
      <w:pPr>
        <w:widowControl/>
        <w:ind w:firstLine="622" w:firstLineChars="200"/>
        <w:jc w:val="both"/>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bidi="ar"/>
        </w:rPr>
        <w:t>人员经费</w:t>
      </w:r>
      <w:r>
        <w:rPr>
          <w:rFonts w:hint="eastAsia" w:ascii="仿宋_GB2312" w:hAnsi="仿宋_GB2312" w:eastAsia="仿宋_GB2312" w:cs="仿宋_GB2312"/>
          <w:color w:val="000000"/>
          <w:kern w:val="0"/>
          <w:sz w:val="31"/>
          <w:szCs w:val="31"/>
          <w:lang w:eastAsia="zh-CN" w:bidi="ar"/>
        </w:rPr>
        <w:t>122.9</w:t>
      </w:r>
      <w:r>
        <w:rPr>
          <w:rFonts w:hint="eastAsia" w:ascii="仿宋_GB2312" w:hAnsi="仿宋_GB2312" w:eastAsia="仿宋_GB2312" w:cs="仿宋_GB2312"/>
          <w:color w:val="000000"/>
          <w:kern w:val="0"/>
          <w:sz w:val="31"/>
          <w:szCs w:val="31"/>
          <w:lang w:val="en-US" w:eastAsia="zh-CN" w:bidi="ar"/>
        </w:rPr>
        <w:t>9</w:t>
      </w:r>
      <w:r>
        <w:rPr>
          <w:rFonts w:ascii="仿宋_GB2312" w:hAnsi="仿宋_GB2312" w:eastAsia="仿宋_GB2312" w:cs="仿宋_GB2312"/>
          <w:color w:val="000000"/>
          <w:kern w:val="0"/>
          <w:sz w:val="31"/>
          <w:szCs w:val="31"/>
          <w:lang w:bidi="ar"/>
        </w:rPr>
        <w:t>万元，主要包括基本工资</w:t>
      </w:r>
      <w:r>
        <w:rPr>
          <w:rFonts w:hint="eastAsia" w:ascii="仿宋_GB2312" w:hAnsi="仿宋_GB2312" w:eastAsia="仿宋_GB2312" w:cs="仿宋_GB2312"/>
          <w:color w:val="000000"/>
          <w:kern w:val="0"/>
          <w:sz w:val="31"/>
          <w:szCs w:val="31"/>
          <w:lang w:eastAsia="zh-CN" w:bidi="ar"/>
        </w:rPr>
        <w:t>18</w:t>
      </w:r>
      <w:r>
        <w:rPr>
          <w:rFonts w:hint="eastAsia"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eastAsia="zh-CN" w:bidi="ar"/>
        </w:rPr>
        <w:t>47</w:t>
      </w:r>
      <w:r>
        <w:rPr>
          <w:rFonts w:hint="eastAsia"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、津贴补贴38.11万元、奖金15.32万元、绩效工资</w:t>
      </w:r>
      <w:r>
        <w:rPr>
          <w:rFonts w:hint="eastAsia" w:ascii="仿宋_GB2312" w:hAnsi="仿宋_GB2312" w:eastAsia="仿宋_GB2312" w:cs="仿宋_GB2312"/>
          <w:color w:val="000000"/>
          <w:kern w:val="0"/>
          <w:sz w:val="31"/>
          <w:szCs w:val="31"/>
          <w:lang w:val="en-US" w:eastAsia="zh-CN" w:bidi="ar"/>
        </w:rPr>
        <w:t>10.78万元、机关事业单位基本养老保险缴费11.72万元、职业年金缴费4.98万元、生活补助0.4万元、救济费0.18万元、医疗费补助0.7万元。</w:t>
      </w:r>
    </w:p>
    <w:p>
      <w:pPr>
        <w:widowControl/>
        <w:ind w:firstLine="643" w:firstLineChars="200"/>
        <w:jc w:val="both"/>
        <w:rPr>
          <w:rFonts w:hint="default" w:eastAsia="仿宋_GB2312"/>
          <w:lang w:val="en-US" w:eastAsia="zh-CN"/>
        </w:rPr>
      </w:pPr>
      <w:r>
        <w:rPr>
          <w:rFonts w:ascii="仿宋_GB2312" w:hAnsi="宋体" w:eastAsia="仿宋_GB2312" w:cs="仿宋_GB2312"/>
          <w:b/>
          <w:bCs/>
          <w:color w:val="000000"/>
          <w:kern w:val="0"/>
          <w:sz w:val="32"/>
          <w:szCs w:val="32"/>
          <w:lang w:bidi="ar"/>
        </w:rPr>
        <w:t>公用经费</w:t>
      </w:r>
      <w:r>
        <w:rPr>
          <w:rFonts w:hint="eastAsia" w:ascii="仿宋_GB2312" w:hAnsi="仿宋_GB2312" w:eastAsia="仿宋_GB2312" w:cs="仿宋_GB2312"/>
          <w:color w:val="000000"/>
          <w:kern w:val="0"/>
          <w:sz w:val="31"/>
          <w:szCs w:val="31"/>
          <w:lang w:eastAsia="zh-CN" w:bidi="ar"/>
        </w:rPr>
        <w:t>95.29</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bidi="ar"/>
        </w:rPr>
        <w:t>10.94万元</w:t>
      </w:r>
      <w:r>
        <w:rPr>
          <w:rFonts w:hint="eastAsia" w:ascii="仿宋_GB2312" w:hAnsi="宋体" w:eastAsia="仿宋_GB2312" w:cs="仿宋_GB2312"/>
          <w:color w:val="000000"/>
          <w:kern w:val="0"/>
          <w:sz w:val="32"/>
          <w:szCs w:val="32"/>
          <w:lang w:eastAsia="zh-CN" w:bidi="ar"/>
        </w:rPr>
        <w:t>、水费0.15万元、差旅费5.28万元、维修（护）费2.3万元、租赁费5万元、会议费1.25万元、培训费2.77万元、公务接待费</w:t>
      </w:r>
      <w:r>
        <w:rPr>
          <w:rFonts w:hint="eastAsia" w:ascii="仿宋_GB2312" w:hAnsi="宋体" w:eastAsia="仿宋_GB2312" w:cs="仿宋_GB2312"/>
          <w:color w:val="000000"/>
          <w:kern w:val="0"/>
          <w:sz w:val="32"/>
          <w:szCs w:val="32"/>
          <w:lang w:val="en-US" w:eastAsia="zh-CN" w:bidi="ar"/>
        </w:rPr>
        <w:t>6.56万元、专用材料费20万元、劳务费25万元、委托业务费8万元、工会经费1.44万元、福利费0.06万元、其他交通费用6.55万元。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6.6</w:t>
      </w:r>
      <w:r>
        <w:rPr>
          <w:rFonts w:ascii="仿宋_GB2312" w:hAnsi="宋体"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1"/>
          <w:szCs w:val="31"/>
          <w:lang w:val="en-US" w:eastAsia="zh-CN" w:bidi="ar"/>
        </w:rPr>
        <w:t>6.56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99.39</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0.04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严控经费支出</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6.56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本年度没有因公出国（境）情况</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未</w:t>
      </w:r>
      <w:r>
        <w:rPr>
          <w:rFonts w:hint="eastAsia" w:ascii="仿宋_GB2312" w:hAnsi="宋体" w:eastAsia="仿宋_GB2312" w:cs="仿宋_GB2312"/>
          <w:color w:val="000000"/>
          <w:kern w:val="0"/>
          <w:sz w:val="32"/>
          <w:szCs w:val="32"/>
          <w:lang w:bidi="ar"/>
        </w:rPr>
        <w:t>购置公务用车。</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无公务用车维护</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15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193</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6.6</w:t>
      </w:r>
      <w:r>
        <w:rPr>
          <w:rFonts w:ascii="仿宋_GB2312" w:hAnsi="宋体" w:eastAsia="仿宋_GB2312" w:cs="仿宋_GB2312"/>
          <w:color w:val="000000"/>
          <w:kern w:val="0"/>
          <w:sz w:val="32"/>
          <w:szCs w:val="32"/>
          <w:lang w:bidi="ar"/>
        </w:rPr>
        <w:t>万元，支出决算</w:t>
      </w:r>
      <w:r>
        <w:rPr>
          <w:rFonts w:hint="eastAsia" w:ascii="仿宋_GB2312" w:hAnsi="仿宋" w:eastAsia="仿宋_GB2312"/>
          <w:sz w:val="32"/>
          <w:szCs w:val="32"/>
        </w:rPr>
        <w:t>为6</w:t>
      </w:r>
      <w:r>
        <w:rPr>
          <w:rFonts w:hint="eastAsia" w:ascii="仿宋_GB2312" w:hAnsi="仿宋" w:eastAsia="仿宋_GB2312"/>
          <w:sz w:val="32"/>
          <w:szCs w:val="32"/>
          <w:lang w:val="en-US" w:eastAsia="zh-CN"/>
        </w:rPr>
        <w:t>.</w:t>
      </w:r>
      <w:r>
        <w:rPr>
          <w:rFonts w:hint="eastAsia" w:ascii="仿宋_GB2312" w:hAnsi="仿宋" w:eastAsia="仿宋_GB2312"/>
          <w:sz w:val="32"/>
          <w:szCs w:val="32"/>
        </w:rPr>
        <w:t>56万元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99.39</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落实接待经费逐年递减的工作要求</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2.77</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47.76%</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3.03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2019年培训有所减少</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25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3.75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w:t>
      </w:r>
      <w:r>
        <w:rPr>
          <w:rFonts w:hint="eastAsia" w:ascii="仿宋_GB2312" w:hAnsi="宋体" w:eastAsia="仿宋_GB2312" w:cs="仿宋_GB2312"/>
          <w:color w:val="000000"/>
          <w:kern w:val="0"/>
          <w:sz w:val="32"/>
          <w:szCs w:val="32"/>
          <w:lang w:eastAsia="zh-CN" w:bidi="ar"/>
        </w:rPr>
        <w:t>落实精文减会有关工作要求，会议较上年有较大幅度的减少</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both"/>
        <w:rPr>
          <w:rFonts w:hint="eastAsia" w:eastAsia="仿宋_GB2312"/>
          <w:lang w:val="en-US"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500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60.41</w:t>
      </w:r>
      <w:r>
        <w:rPr>
          <w:rFonts w:ascii="仿宋_GB2312" w:hAnsi="仿宋_GB2312" w:eastAsia="仿宋_GB2312" w:cs="仿宋_GB2312"/>
          <w:sz w:val="32"/>
          <w:szCs w:val="32"/>
        </w:rPr>
        <w:t>%。</w:t>
      </w:r>
    </w:p>
    <w:p>
      <w:pPr>
        <w:widowControl/>
        <w:ind w:firstLine="643" w:firstLineChars="200"/>
        <w:jc w:val="left"/>
        <w:rPr>
          <w:rFonts w:ascii="仿宋_GB2312" w:hAnsi="仿宋_GB2312" w:eastAsia="仿宋_GB2312" w:cs="仿宋_GB2312"/>
          <w:color w:val="000000"/>
          <w:kern w:val="0"/>
          <w:sz w:val="31"/>
          <w:szCs w:val="31"/>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both"/>
        <w:rPr>
          <w:rFonts w:ascii="楷体" w:hAnsi="楷体" w:eastAsia="楷体" w:cs="楷体"/>
          <w:sz w:val="32"/>
          <w:szCs w:val="32"/>
        </w:rPr>
      </w:pPr>
      <w:r>
        <w:rPr>
          <w:rFonts w:hint="eastAsia" w:ascii="仿宋_GB2312" w:hAnsi="仿宋_GB2312" w:eastAsia="仿宋_GB2312" w:cs="仿宋_GB2312"/>
          <w:color w:val="000000"/>
          <w:kern w:val="0"/>
          <w:sz w:val="31"/>
          <w:szCs w:val="31"/>
          <w:lang w:eastAsia="zh-CN" w:bidi="ar"/>
        </w:rPr>
        <w:t>宣传专项</w:t>
      </w:r>
      <w:r>
        <w:rPr>
          <w:rFonts w:ascii="仿宋_GB2312" w:hAnsi="仿宋_GB2312" w:eastAsia="仿宋_GB2312" w:cs="仿宋_GB2312"/>
          <w:color w:val="000000"/>
          <w:kern w:val="0"/>
          <w:sz w:val="31"/>
          <w:szCs w:val="31"/>
          <w:lang w:bidi="ar"/>
        </w:rPr>
        <w:t>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640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602</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94.06</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eastAsia="zh-CN" w:bidi="ar"/>
        </w:rPr>
        <w:t>完成了融媒体中心建设，与媒体合作提升了示范区知名度和美誉度</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创新宣传方式方法，不断提升宣传效果</w:t>
      </w:r>
      <w:r>
        <w:rPr>
          <w:rFonts w:hint="eastAsia" w:ascii="仿宋_GB2312" w:hAnsi="仿宋_GB2312" w:eastAsia="仿宋_GB2312" w:cs="仿宋_GB2312"/>
          <w:color w:val="000000"/>
          <w:kern w:val="0"/>
          <w:sz w:val="31"/>
          <w:szCs w:val="31"/>
          <w:lang w:bidi="ar"/>
        </w:rPr>
        <w:t>。</w:t>
      </w:r>
    </w:p>
    <w:p>
      <w:pPr>
        <w:widowControl/>
        <w:jc w:val="left"/>
        <w:rPr>
          <w:rFonts w:hint="eastAsia" w:ascii="楷体" w:hAnsi="楷体" w:eastAsia="楷体" w:cs="楷体"/>
          <w:sz w:val="32"/>
          <w:szCs w:val="32"/>
        </w:rPr>
        <w:sectPr>
          <w:pgSz w:w="11906" w:h="16838"/>
          <w:pgMar w:top="1928" w:right="1588" w:bottom="192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24.65pt;width:462.75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409.55pt;width:631.6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p>
    <w:p>
      <w:pPr>
        <w:rPr>
          <w:rFonts w:ascii="楷体" w:hAnsi="楷体" w:eastAsia="楷体" w:cs="楷体"/>
          <w:sz w:val="32"/>
          <w:szCs w:val="32"/>
        </w:rPr>
      </w:pPr>
    </w:p>
    <w:p>
      <w:pPr>
        <w:rPr>
          <w:rFonts w:ascii="楷体" w:hAnsi="楷体" w:eastAsia="楷体" w:cs="楷体"/>
          <w:sz w:val="32"/>
          <w:szCs w:val="32"/>
        </w:rPr>
      </w:pPr>
      <w:bookmarkStart w:id="0" w:name="_GoBack"/>
      <w:r>
        <w:rPr>
          <w:rFonts w:hint="eastAsia" w:ascii="楷体" w:hAnsi="楷体" w:eastAsia="楷体" w:cs="楷体"/>
          <w:sz w:val="32"/>
          <w:szCs w:val="32"/>
        </w:rPr>
        <w:object>
          <v:shape id="_x0000_i1027" o:spt="75" alt="" type="#_x0000_t75" style="height:387.1pt;width:647.4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bookmarkEnd w:id="0"/>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alt="" type="#_x0000_t75" style="height:339pt;width:645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both"/>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eastAsia="zh-CN" w:bidi="ar"/>
        </w:rPr>
        <w:t>52.6</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调整预算数</w:t>
      </w:r>
      <w:r>
        <w:rPr>
          <w:rFonts w:hint="eastAsia" w:ascii="仿宋_GB2312" w:hAnsi="宋体" w:eastAsia="仿宋_GB2312" w:cs="仿宋_GB2312"/>
          <w:color w:val="000000"/>
          <w:kern w:val="0"/>
          <w:sz w:val="32"/>
          <w:szCs w:val="32"/>
          <w:lang w:eastAsia="zh-CN" w:bidi="ar"/>
        </w:rPr>
        <w:t>为</w:t>
      </w:r>
      <w:r>
        <w:rPr>
          <w:rFonts w:hint="eastAsia" w:ascii="仿宋_GB2312" w:hAnsi="宋体" w:eastAsia="仿宋_GB2312" w:cs="仿宋_GB2312"/>
          <w:color w:val="000000"/>
          <w:kern w:val="0"/>
          <w:sz w:val="32"/>
          <w:szCs w:val="32"/>
          <w:lang w:val="en-US" w:eastAsia="zh-CN" w:bidi="ar"/>
        </w:rPr>
        <w:t>179.73万元，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eastAsia="zh-CN" w:bidi="ar"/>
        </w:rPr>
        <w:t>99.73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55.49</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减少</w:t>
      </w:r>
      <w:r>
        <w:rPr>
          <w:rFonts w:hint="eastAsia" w:ascii="仿宋_GB2312" w:hAnsi="宋体" w:eastAsia="仿宋_GB2312" w:cs="仿宋_GB2312"/>
          <w:color w:val="000000"/>
          <w:kern w:val="0"/>
          <w:sz w:val="32"/>
          <w:szCs w:val="32"/>
          <w:lang w:val="en-US" w:eastAsia="zh-CN" w:bidi="ar"/>
        </w:rPr>
        <w:t>80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机构改革后工作职能有所调整，相应调减经费</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84905"/>
    <w:multiLevelType w:val="singleLevel"/>
    <w:tmpl w:val="9628490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354F86"/>
    <w:rsid w:val="00445036"/>
    <w:rsid w:val="00452E2E"/>
    <w:rsid w:val="004B6D6E"/>
    <w:rsid w:val="00813F4A"/>
    <w:rsid w:val="008D0B4E"/>
    <w:rsid w:val="00B80654"/>
    <w:rsid w:val="00E8111E"/>
    <w:rsid w:val="013B79AC"/>
    <w:rsid w:val="01DA662D"/>
    <w:rsid w:val="04C93592"/>
    <w:rsid w:val="0623227F"/>
    <w:rsid w:val="065059E3"/>
    <w:rsid w:val="079C0686"/>
    <w:rsid w:val="07F1163C"/>
    <w:rsid w:val="096B54C7"/>
    <w:rsid w:val="0ADA2A45"/>
    <w:rsid w:val="0ADE5305"/>
    <w:rsid w:val="0C516E5A"/>
    <w:rsid w:val="0D202B3E"/>
    <w:rsid w:val="0E097A74"/>
    <w:rsid w:val="0E6F7F29"/>
    <w:rsid w:val="10A278CA"/>
    <w:rsid w:val="118C2CFA"/>
    <w:rsid w:val="125E2600"/>
    <w:rsid w:val="132E46A0"/>
    <w:rsid w:val="137C7F84"/>
    <w:rsid w:val="13DB77BF"/>
    <w:rsid w:val="14176571"/>
    <w:rsid w:val="143D62BD"/>
    <w:rsid w:val="14411117"/>
    <w:rsid w:val="146A4FF7"/>
    <w:rsid w:val="151A6457"/>
    <w:rsid w:val="15321C12"/>
    <w:rsid w:val="1586116E"/>
    <w:rsid w:val="16F2004E"/>
    <w:rsid w:val="17464FAB"/>
    <w:rsid w:val="18BB4AD7"/>
    <w:rsid w:val="19383434"/>
    <w:rsid w:val="193F7693"/>
    <w:rsid w:val="1B4A3FDA"/>
    <w:rsid w:val="1B524C98"/>
    <w:rsid w:val="1BE07478"/>
    <w:rsid w:val="1BF75350"/>
    <w:rsid w:val="1C3D7EBA"/>
    <w:rsid w:val="1C5E2F73"/>
    <w:rsid w:val="1D500ED1"/>
    <w:rsid w:val="1D6E0C0D"/>
    <w:rsid w:val="1ED10E6F"/>
    <w:rsid w:val="1F1A71AB"/>
    <w:rsid w:val="20FD2AE8"/>
    <w:rsid w:val="221C15BB"/>
    <w:rsid w:val="22521CE7"/>
    <w:rsid w:val="22D45F93"/>
    <w:rsid w:val="22E94706"/>
    <w:rsid w:val="23CE0E61"/>
    <w:rsid w:val="23F0708C"/>
    <w:rsid w:val="2574390C"/>
    <w:rsid w:val="25AD679F"/>
    <w:rsid w:val="26EC61BB"/>
    <w:rsid w:val="29785A6B"/>
    <w:rsid w:val="2A1C58F8"/>
    <w:rsid w:val="2A2543D8"/>
    <w:rsid w:val="2C9842D9"/>
    <w:rsid w:val="2D1F3974"/>
    <w:rsid w:val="2DB52EF2"/>
    <w:rsid w:val="2E0C0420"/>
    <w:rsid w:val="2F475A97"/>
    <w:rsid w:val="2F5C6984"/>
    <w:rsid w:val="31834D24"/>
    <w:rsid w:val="318F1FA3"/>
    <w:rsid w:val="31AA6038"/>
    <w:rsid w:val="320173FF"/>
    <w:rsid w:val="32B5796A"/>
    <w:rsid w:val="33556A1A"/>
    <w:rsid w:val="33887EE3"/>
    <w:rsid w:val="34677C61"/>
    <w:rsid w:val="34C9385C"/>
    <w:rsid w:val="351550FA"/>
    <w:rsid w:val="37937944"/>
    <w:rsid w:val="39A43670"/>
    <w:rsid w:val="3A4531BA"/>
    <w:rsid w:val="3B121AD1"/>
    <w:rsid w:val="3B5415F3"/>
    <w:rsid w:val="3B745972"/>
    <w:rsid w:val="3BC30BA9"/>
    <w:rsid w:val="3C1D6222"/>
    <w:rsid w:val="3C4342AD"/>
    <w:rsid w:val="3CB81C0E"/>
    <w:rsid w:val="3CFD0D2E"/>
    <w:rsid w:val="3D3F5325"/>
    <w:rsid w:val="3DF50EC0"/>
    <w:rsid w:val="3E16503B"/>
    <w:rsid w:val="3E1F59EC"/>
    <w:rsid w:val="3E5969CB"/>
    <w:rsid w:val="3E6631C8"/>
    <w:rsid w:val="3EB52601"/>
    <w:rsid w:val="3EC11B53"/>
    <w:rsid w:val="3FE555AB"/>
    <w:rsid w:val="3FEA67EE"/>
    <w:rsid w:val="41603979"/>
    <w:rsid w:val="41740474"/>
    <w:rsid w:val="41CF436B"/>
    <w:rsid w:val="42035243"/>
    <w:rsid w:val="42B61EA5"/>
    <w:rsid w:val="432870AE"/>
    <w:rsid w:val="43C2564C"/>
    <w:rsid w:val="43FD0DF9"/>
    <w:rsid w:val="44F6793E"/>
    <w:rsid w:val="4619368A"/>
    <w:rsid w:val="464D54BE"/>
    <w:rsid w:val="470F7DFE"/>
    <w:rsid w:val="47674CEF"/>
    <w:rsid w:val="47867BF7"/>
    <w:rsid w:val="47E64136"/>
    <w:rsid w:val="48CD5058"/>
    <w:rsid w:val="492D4B38"/>
    <w:rsid w:val="49CE3CC2"/>
    <w:rsid w:val="49EF1E7F"/>
    <w:rsid w:val="4B720350"/>
    <w:rsid w:val="4BE57293"/>
    <w:rsid w:val="4D6E0FDF"/>
    <w:rsid w:val="4EE4307A"/>
    <w:rsid w:val="4F394547"/>
    <w:rsid w:val="502B4E58"/>
    <w:rsid w:val="5153143F"/>
    <w:rsid w:val="52F62F2B"/>
    <w:rsid w:val="54F12DEE"/>
    <w:rsid w:val="561C075A"/>
    <w:rsid w:val="573A6CF7"/>
    <w:rsid w:val="574513C7"/>
    <w:rsid w:val="57D029E1"/>
    <w:rsid w:val="57F037FE"/>
    <w:rsid w:val="58B958DA"/>
    <w:rsid w:val="58BF10D8"/>
    <w:rsid w:val="58C25E3A"/>
    <w:rsid w:val="59560C8E"/>
    <w:rsid w:val="59AF1C0A"/>
    <w:rsid w:val="59CE6AC0"/>
    <w:rsid w:val="5B8D564A"/>
    <w:rsid w:val="5BB32BB3"/>
    <w:rsid w:val="5BCA20F0"/>
    <w:rsid w:val="5D4E78FF"/>
    <w:rsid w:val="5EC67577"/>
    <w:rsid w:val="5F3857AB"/>
    <w:rsid w:val="5F3B69C1"/>
    <w:rsid w:val="605C6B31"/>
    <w:rsid w:val="608100A5"/>
    <w:rsid w:val="61226F86"/>
    <w:rsid w:val="61253C61"/>
    <w:rsid w:val="623431D6"/>
    <w:rsid w:val="62BF5BB8"/>
    <w:rsid w:val="62F07402"/>
    <w:rsid w:val="63895DDD"/>
    <w:rsid w:val="65074FBA"/>
    <w:rsid w:val="672C554D"/>
    <w:rsid w:val="67771D43"/>
    <w:rsid w:val="68A0488B"/>
    <w:rsid w:val="68C12C09"/>
    <w:rsid w:val="69233110"/>
    <w:rsid w:val="6C645BB6"/>
    <w:rsid w:val="6CED4582"/>
    <w:rsid w:val="6D827012"/>
    <w:rsid w:val="6DC03A8F"/>
    <w:rsid w:val="6DD34711"/>
    <w:rsid w:val="6F624308"/>
    <w:rsid w:val="70B4446F"/>
    <w:rsid w:val="71086DB5"/>
    <w:rsid w:val="7221539A"/>
    <w:rsid w:val="72BF3A46"/>
    <w:rsid w:val="72F17F24"/>
    <w:rsid w:val="73562810"/>
    <w:rsid w:val="751B6C8C"/>
    <w:rsid w:val="753F3039"/>
    <w:rsid w:val="75C31473"/>
    <w:rsid w:val="7605791E"/>
    <w:rsid w:val="7645765E"/>
    <w:rsid w:val="76C36F4A"/>
    <w:rsid w:val="76EB4B45"/>
    <w:rsid w:val="7B6B6A4E"/>
    <w:rsid w:val="7BC216D3"/>
    <w:rsid w:val="7C3E5E46"/>
    <w:rsid w:val="7CFE4389"/>
    <w:rsid w:val="7D41615D"/>
    <w:rsid w:val="7EE759C2"/>
    <w:rsid w:val="7F345038"/>
    <w:rsid w:val="7F4536C2"/>
    <w:rsid w:val="7FDB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[工作簿1]Sheet1!$A$1:$A$3</c:f>
              <c:strCache>
                <c:ptCount val="3"/>
                <c:pt idx="0">
                  <c:v>行政人员</c:v>
                </c:pt>
                <c:pt idx="1">
                  <c:v>事业人员</c:v>
                </c:pt>
                <c:pt idx="2">
                  <c:v>空编</c:v>
                </c:pt>
              </c:strCache>
            </c:strRef>
          </c:cat>
          <c:val>
            <c:numRef>
              <c:f>[工作簿1]Sheet1!$B$1:$B$3</c:f>
              <c:numCache>
                <c:formatCode>General</c:formatCode>
                <c:ptCount val="3"/>
                <c:pt idx="0">
                  <c:v>3</c:v>
                </c:pt>
                <c:pt idx="1">
                  <c:v>3</c:v>
                </c:pt>
                <c:pt idx="2">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收入决算对比图（单位：万元）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2018年</c:v>
                </c:pt>
                <c:pt idx="1">
                  <c:v>2019年</c:v>
                </c:pt>
              </c:strCache>
            </c:strRef>
          </c:cat>
          <c:val>
            <c:numRef>
              <c:f>[工作簿1]Sheet1!$B$1:$B$2</c:f>
              <c:numCache>
                <c:formatCode>General</c:formatCode>
                <c:ptCount val="2"/>
                <c:pt idx="0">
                  <c:v>1471.68</c:v>
                </c:pt>
                <c:pt idx="1">
                  <c:v>1227.92</c:v>
                </c:pt>
              </c:numCache>
            </c:numRef>
          </c:val>
        </c:ser>
        <c:dLbls>
          <c:showLegendKey val="0"/>
          <c:showVal val="0"/>
          <c:showCatName val="0"/>
          <c:showSerName val="0"/>
          <c:showPercent val="0"/>
          <c:showBubbleSize val="0"/>
        </c:dLbls>
        <c:gapWidth val="219"/>
        <c:overlap val="-27"/>
        <c:axId val="118026277"/>
        <c:axId val="130710421"/>
      </c:barChart>
      <c:catAx>
        <c:axId val="1180262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710421"/>
        <c:crosses val="autoZero"/>
        <c:auto val="1"/>
        <c:lblAlgn val="ctr"/>
        <c:lblOffset val="100"/>
        <c:noMultiLvlLbl val="0"/>
      </c:catAx>
      <c:valAx>
        <c:axId val="1307104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0262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支出决算对比图（单位：万元）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manualLayout>
          <c:xMode val="edge"/>
          <c:yMode val="edge"/>
          <c:x val="0.22"/>
          <c:y val="0.024305555555555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2018年</c:v>
                </c:pt>
                <c:pt idx="1">
                  <c:v>2019年</c:v>
                </c:pt>
              </c:strCache>
            </c:strRef>
          </c:cat>
          <c:val>
            <c:numRef>
              <c:f>[工作簿1]Sheet1!$B$1:$B$2</c:f>
              <c:numCache>
                <c:formatCode>General</c:formatCode>
                <c:ptCount val="2"/>
                <c:pt idx="0">
                  <c:v>834.02</c:v>
                </c:pt>
                <c:pt idx="1">
                  <c:v>1219.26</c:v>
                </c:pt>
              </c:numCache>
            </c:numRef>
          </c:val>
        </c:ser>
        <c:dLbls>
          <c:showLegendKey val="0"/>
          <c:showVal val="0"/>
          <c:showCatName val="0"/>
          <c:showSerName val="0"/>
          <c:showPercent val="0"/>
          <c:showBubbleSize val="0"/>
        </c:dLbls>
        <c:gapWidth val="219"/>
        <c:overlap val="-27"/>
        <c:axId val="118026277"/>
        <c:axId val="130710421"/>
      </c:barChart>
      <c:catAx>
        <c:axId val="1180262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710421"/>
        <c:crosses val="autoZero"/>
        <c:auto val="1"/>
        <c:lblAlgn val="ctr"/>
        <c:lblOffset val="100"/>
        <c:noMultiLvlLbl val="0"/>
      </c:catAx>
      <c:valAx>
        <c:axId val="1307104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0262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[工作簿1]Sheet1!$A$1:$A$2</c:f>
              <c:strCache>
                <c:ptCount val="2"/>
                <c:pt idx="0">
                  <c:v>财政拨款收入</c:v>
                </c:pt>
                <c:pt idx="1">
                  <c:v>其他收入</c:v>
                </c:pt>
              </c:strCache>
            </c:strRef>
          </c:cat>
          <c:val>
            <c:numRef>
              <c:f>[工作簿1]Sheet1!$B$1:$B$2</c:f>
              <c:numCache>
                <c:formatCode>General</c:formatCode>
                <c:ptCount val="2"/>
                <c:pt idx="0">
                  <c:v>1214.82</c:v>
                </c:pt>
                <c:pt idx="1">
                  <c:v>13.1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[工作簿1]Sheet1!$A$1:$A$2</c:f>
              <c:strCache>
                <c:ptCount val="2"/>
                <c:pt idx="0">
                  <c:v>基本支出</c:v>
                </c:pt>
                <c:pt idx="1">
                  <c:v>项目支出</c:v>
                </c:pt>
              </c:strCache>
            </c:strRef>
          </c:cat>
          <c:val>
            <c:numRef>
              <c:f>[工作簿1]Sheet1!$B$1:$B$2</c:f>
              <c:numCache>
                <c:formatCode>General</c:formatCode>
                <c:ptCount val="2"/>
                <c:pt idx="0">
                  <c:v>222.72</c:v>
                </c:pt>
                <c:pt idx="1">
                  <c:v>996.55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财政拨款收入对比图（单位：万元）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2018年</c:v>
                </c:pt>
                <c:pt idx="1">
                  <c:v>2019年</c:v>
                </c:pt>
              </c:strCache>
            </c:strRef>
          </c:cat>
          <c:val>
            <c:numRef>
              <c:f>[工作簿1]Sheet1!$B$1:$B$2</c:f>
              <c:numCache>
                <c:formatCode>General</c:formatCode>
                <c:ptCount val="2"/>
                <c:pt idx="0">
                  <c:v>1453.51</c:v>
                </c:pt>
                <c:pt idx="1">
                  <c:v>1214.82</c:v>
                </c:pt>
              </c:numCache>
            </c:numRef>
          </c:val>
        </c:ser>
        <c:dLbls>
          <c:showLegendKey val="0"/>
          <c:showVal val="0"/>
          <c:showCatName val="0"/>
          <c:showSerName val="0"/>
          <c:showPercent val="0"/>
          <c:showBubbleSize val="0"/>
        </c:dLbls>
        <c:gapWidth val="219"/>
        <c:overlap val="-27"/>
        <c:axId val="734023113"/>
        <c:axId val="128084978"/>
      </c:barChart>
      <c:catAx>
        <c:axId val="7340231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084978"/>
        <c:crosses val="autoZero"/>
        <c:auto val="1"/>
        <c:lblAlgn val="ctr"/>
        <c:lblOffset val="100"/>
        <c:noMultiLvlLbl val="0"/>
      </c:catAx>
      <c:valAx>
        <c:axId val="1280849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0231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财政拨款支出对比图（单位：万元）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2018年</c:v>
                </c:pt>
                <c:pt idx="1">
                  <c:v>2019年</c:v>
                </c:pt>
              </c:strCache>
            </c:strRef>
          </c:cat>
          <c:val>
            <c:numRef>
              <c:f>[工作簿1]Sheet1!$B$1:$B$2</c:f>
              <c:numCache>
                <c:formatCode>General</c:formatCode>
                <c:ptCount val="2"/>
                <c:pt idx="0">
                  <c:v>1449.07</c:v>
                </c:pt>
                <c:pt idx="1">
                  <c:v>1214.82</c:v>
                </c:pt>
              </c:numCache>
            </c:numRef>
          </c:val>
        </c:ser>
        <c:dLbls>
          <c:showLegendKey val="0"/>
          <c:showVal val="0"/>
          <c:showCatName val="0"/>
          <c:showSerName val="0"/>
          <c:showPercent val="0"/>
          <c:showBubbleSize val="0"/>
        </c:dLbls>
        <c:gapWidth val="219"/>
        <c:overlap val="-27"/>
        <c:axId val="734023113"/>
        <c:axId val="128084978"/>
      </c:barChart>
      <c:catAx>
        <c:axId val="7340231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084978"/>
        <c:crosses val="autoZero"/>
        <c:auto val="1"/>
        <c:lblAlgn val="ctr"/>
        <c:lblOffset val="100"/>
        <c:noMultiLvlLbl val="0"/>
      </c:catAx>
      <c:valAx>
        <c:axId val="1280849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0231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财政拨款支出对比图（单位：万元）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2018年</c:v>
                </c:pt>
                <c:pt idx="1">
                  <c:v>2019年</c:v>
                </c:pt>
              </c:strCache>
            </c:strRef>
          </c:cat>
          <c:val>
            <c:numRef>
              <c:f>[工作簿1]Sheet1!$B$1:$B$2</c:f>
              <c:numCache>
                <c:formatCode>General</c:formatCode>
                <c:ptCount val="2"/>
                <c:pt idx="0">
                  <c:v>1449.07</c:v>
                </c:pt>
                <c:pt idx="1">
                  <c:v>1214.82</c:v>
                </c:pt>
              </c:numCache>
            </c:numRef>
          </c:val>
        </c:ser>
        <c:dLbls>
          <c:showLegendKey val="0"/>
          <c:showVal val="0"/>
          <c:showCatName val="0"/>
          <c:showSerName val="0"/>
          <c:showPercent val="0"/>
          <c:showBubbleSize val="0"/>
        </c:dLbls>
        <c:gapWidth val="219"/>
        <c:overlap val="-27"/>
        <c:axId val="734023113"/>
        <c:axId val="128084978"/>
      </c:barChart>
      <c:catAx>
        <c:axId val="7340231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084978"/>
        <c:crosses val="autoZero"/>
        <c:auto val="1"/>
        <c:lblAlgn val="ctr"/>
        <c:lblOffset val="100"/>
        <c:noMultiLvlLbl val="0"/>
      </c:catAx>
      <c:valAx>
        <c:axId val="1280849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0231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TotalTime>
  <ScaleCrop>false</ScaleCrop>
  <LinksUpToDate>false</LinksUpToDate>
  <CharactersWithSpaces>8778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木简言</cp:lastModifiedBy>
  <cp:lastPrinted>2020-10-28T06:48:00Z</cp:lastPrinted>
  <dcterms:modified xsi:type="dcterms:W3CDTF">2020-11-02T08:32:43Z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