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BatangChe" w:hAnsi="BatangChe" w:eastAsia="仿宋_GB2312"/>
          <w:sz w:val="32"/>
          <w:szCs w:val="32"/>
        </w:rPr>
      </w:pPr>
      <w:r>
        <w:rPr>
          <w:rFonts w:hint="eastAsia" w:ascii="BatangChe" w:hAnsi="BatangChe" w:eastAsia="仿宋_GB2312"/>
          <w:sz w:val="32"/>
          <w:szCs w:val="32"/>
        </w:rPr>
        <w:t>附件2：</w:t>
      </w:r>
    </w:p>
    <w:tbl>
      <w:tblPr>
        <w:tblStyle w:val="4"/>
        <w:tblW w:w="1514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764"/>
        <w:gridCol w:w="841"/>
        <w:gridCol w:w="1633"/>
        <w:gridCol w:w="796"/>
        <w:gridCol w:w="1063"/>
        <w:gridCol w:w="737"/>
        <w:gridCol w:w="720"/>
        <w:gridCol w:w="900"/>
        <w:gridCol w:w="900"/>
        <w:gridCol w:w="1063"/>
        <w:gridCol w:w="1063"/>
        <w:gridCol w:w="1043"/>
        <w:gridCol w:w="1064"/>
        <w:gridCol w:w="17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514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 w:cs="宋体"/>
                <w:color w:val="000000"/>
                <w:kern w:val="0"/>
                <w:sz w:val="44"/>
                <w:szCs w:val="44"/>
              </w:rPr>
              <w:t>粉尘作业场所10人及以上金属粉尘、木粉尘企业检查整改情况调度表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428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市（区）：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地市</w:t>
            </w:r>
          </w:p>
        </w:tc>
        <w:tc>
          <w:tcPr>
            <w:tcW w:w="8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区县</w:t>
            </w:r>
          </w:p>
        </w:tc>
        <w:tc>
          <w:tcPr>
            <w:tcW w:w="16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7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粉尘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种类</w:t>
            </w:r>
          </w:p>
        </w:tc>
        <w:tc>
          <w:tcPr>
            <w:tcW w:w="10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涉粉作业人数</w:t>
            </w:r>
          </w:p>
        </w:tc>
        <w:tc>
          <w:tcPr>
            <w:tcW w:w="32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检查发现的重点问题和隐患</w:t>
            </w:r>
          </w:p>
        </w:tc>
        <w:tc>
          <w:tcPr>
            <w:tcW w:w="42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重点问题和隐患是否整改完成</w:t>
            </w:r>
          </w:p>
        </w:tc>
        <w:tc>
          <w:tcPr>
            <w:tcW w:w="1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市级部门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是否进行了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督导核查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8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6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建构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筑物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除尘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系统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防火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防爆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粉尘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清理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建构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筑物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除尘系统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防火防爆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粉尘清理</w:t>
            </w:r>
          </w:p>
        </w:tc>
        <w:tc>
          <w:tcPr>
            <w:tcW w:w="1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5148" w:type="dxa"/>
            <w:gridSpan w:val="15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>注：1.检查发现的重点问题和隐患：按“10大重点问题和隐患”四个方面分类填写检查出的具体问题和隐患的序号“1,2…10”。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  如检查出隐患为“干式除尘系统未规范采用泄爆、隔爆、惰化、抑爆等任一种控爆措施。”，则填写为“3”，有多项则填写多项，没有填“无”。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2.重点问题和隐患是否整改完成：按“10大重点问题和隐患”四个方面分类填写，完成“是”，未完成“否”。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</w:rPr>
              <w:t xml:space="preserve">    3.省级部门是否进行了督导核查：指是否在检查、执法或整改等环节，对该企业进行了督导核查。</w:t>
            </w:r>
          </w:p>
        </w:tc>
      </w:tr>
    </w:tbl>
    <w:p>
      <w:pPr>
        <w:pStyle w:val="2"/>
        <w:adjustRightInd w:val="0"/>
        <w:snapToGrid w:val="0"/>
        <w:spacing w:before="0" w:beforeAutospacing="0" w:after="0" w:afterAutospacing="0" w:line="360" w:lineRule="auto"/>
        <w:jc w:val="both"/>
        <w:rPr>
          <w:rFonts w:hint="eastAsia" w:ascii="BatangChe" w:hAnsi="BatangChe" w:eastAsia="仿宋_GB2312"/>
          <w:sz w:val="32"/>
          <w:szCs w:val="32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CB35CF"/>
    <w:rsid w:val="76CB35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2017-05-04T07:34:00Z</dcterms:created>
  <dc:creator>Administrator</dc:creator>
  <cp:lastModifiedBy>Administrator</cp:lastModifiedBy>
  <dcterms:modified xsi:type="dcterms:W3CDTF">2017-05-04T07:34:40Z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