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 xml:space="preserve">附件：                            </w:t>
      </w:r>
      <w:r>
        <w:rPr>
          <w:rFonts w:hint="eastAsia" w:ascii="BatangChe" w:hAnsi="BatangChe" w:eastAsia="黑体" w:cs="宋体"/>
          <w:color w:val="000000"/>
          <w:kern w:val="0"/>
          <w:sz w:val="32"/>
          <w:szCs w:val="32"/>
        </w:rPr>
        <w:t>一季度考核重点</w:t>
      </w:r>
      <w:r>
        <w:rPr>
          <w:rFonts w:hint="eastAsia" w:ascii="BatangChe" w:hAnsi="黑体" w:eastAsia="黑体" w:cs="宋体"/>
          <w:color w:val="000000"/>
          <w:kern w:val="0"/>
          <w:sz w:val="32"/>
          <w:szCs w:val="32"/>
        </w:rPr>
        <w:t>内</w:t>
      </w:r>
      <w:r>
        <w:rPr>
          <w:rFonts w:hint="eastAsia" w:ascii="BatangChe" w:hAnsi="BatangChe" w:eastAsia="黑体" w:cs="宋体"/>
          <w:color w:val="000000"/>
          <w:kern w:val="0"/>
          <w:sz w:val="32"/>
          <w:szCs w:val="32"/>
        </w:rPr>
        <w:t>容及</w:t>
      </w:r>
      <w:r>
        <w:rPr>
          <w:rFonts w:hint="eastAsia" w:ascii="BatangChe" w:hAnsi="黑体" w:eastAsia="黑体" w:cs="宋体"/>
          <w:color w:val="000000"/>
          <w:kern w:val="0"/>
          <w:sz w:val="32"/>
          <w:szCs w:val="32"/>
        </w:rPr>
        <w:t>评</w:t>
      </w:r>
      <w:r>
        <w:rPr>
          <w:rFonts w:hint="eastAsia" w:ascii="BatangChe" w:hAnsi="BatangChe" w:eastAsia="黑体" w:cs="宋体"/>
          <w:color w:val="000000"/>
          <w:kern w:val="0"/>
          <w:sz w:val="32"/>
          <w:szCs w:val="32"/>
        </w:rPr>
        <w:t>分</w:t>
      </w:r>
      <w:r>
        <w:rPr>
          <w:rFonts w:hint="eastAsia" w:ascii="BatangChe" w:hAnsi="黑体" w:eastAsia="黑体" w:cs="宋体"/>
          <w:color w:val="000000"/>
          <w:kern w:val="0"/>
          <w:sz w:val="32"/>
          <w:szCs w:val="32"/>
        </w:rPr>
        <w:t>细则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BatangChe" w:hAnsi="BatangChe" w:eastAsia="仿宋_GB2312" w:cs="宋体"/>
          <w:color w:val="000000"/>
          <w:kern w:val="0"/>
          <w:sz w:val="11"/>
          <w:szCs w:val="11"/>
        </w:rPr>
      </w:pPr>
    </w:p>
    <w:p>
      <w:pPr>
        <w:widowControl/>
        <w:adjustRightInd w:val="0"/>
        <w:snapToGrid w:val="0"/>
        <w:spacing w:line="240" w:lineRule="atLeast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黑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 xml:space="preserve">  被考核单位：                    时间：                   联系人：</w:t>
      </w:r>
    </w:p>
    <w:tbl>
      <w:tblPr>
        <w:tblStyle w:val="7"/>
        <w:tblW w:w="15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4203"/>
        <w:gridCol w:w="4682"/>
        <w:gridCol w:w="1437"/>
        <w:gridCol w:w="126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考核</w:t>
            </w:r>
            <w:r>
              <w:rPr>
                <w:rFonts w:hint="eastAsia" w:ascii="BatangChe" w:hAnsi="黑体" w:eastAsia="黑体" w:cs="宋体"/>
                <w:color w:val="000000"/>
                <w:kern w:val="0"/>
                <w:sz w:val="24"/>
              </w:rPr>
              <w:t>内</w:t>
            </w: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容</w:t>
            </w:r>
          </w:p>
        </w:tc>
        <w:tc>
          <w:tcPr>
            <w:tcW w:w="42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评分细则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考核方式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扣分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24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2017年春节后复产复工安全检查和员工岗前安全培训工作开展情况（杨管安委发〔2017〕1号）。</w:t>
            </w:r>
          </w:p>
        </w:tc>
        <w:tc>
          <w:tcPr>
            <w:tcW w:w="420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开展各行业领域节后复工复产安全检查，督促做好员工岗前安全培训，收集整理并按时报送节后复工复产安全生产评估报告。20分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1.文件批办和工作安排不及时的，扣10分；2.未安排部署检查的，扣6分；</w:t>
            </w:r>
          </w:p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3.工作覆盖面小，资料偏少的，扣4分；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现场查看文档和资料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全国“两会”期间安全生产工作开展情况（杨管安委办发〔2017〕3号和4号）。</w:t>
            </w:r>
          </w:p>
        </w:tc>
        <w:tc>
          <w:tcPr>
            <w:tcW w:w="420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按照要求开展全国“两会”期间安全生产检查督查工作，及时上报各类值班值守信息。20分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1.文件批办和工作安排不及时的，扣10分；2.未开展“两会”期间安全生产监督督查工作的，扣10分；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现场查看文档和资料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贯彻落实示范区2017年度安全生产工作会议精神，按照示范区2017年度安全生产工作要点要求开展各项工作。（杨管安委办发〔2017〕5号）。</w:t>
            </w:r>
          </w:p>
        </w:tc>
        <w:tc>
          <w:tcPr>
            <w:tcW w:w="420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及时传达安全生产工作会议精神，做好工作安排部署，落实安全生产工作责任；结合职能职责，按照要点要求，开展行业领域专项治理工作，加强宣传教育，探索安全生产社会化服务工作。30分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1.文件批办和工作安排不及时的，扣10分；2.未进行工作安排部署，没有开展行业领域专项治理的，扣20分；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现场查看文档和资料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加强隐患排查治理，建立完善隐患排查治理台账。</w:t>
            </w:r>
          </w:p>
        </w:tc>
        <w:tc>
          <w:tcPr>
            <w:tcW w:w="420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开展行业领域安全生产隐患排查治理工作，建立完善各类隐患台账，加强跟踪督办，及时消除各类隐患。30分</w:t>
            </w:r>
          </w:p>
        </w:tc>
        <w:tc>
          <w:tcPr>
            <w:tcW w:w="46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1.未开展隐患排查治理工作的，扣12分；</w:t>
            </w:r>
          </w:p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2.未建立隐患排查治理台账的，扣12分；</w:t>
            </w:r>
          </w:p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3.隐患排查治理台账不完善的，扣6分。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  <w:t>现场查看文档和资料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BatangChe" w:hAnsi="BatangChe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/>
          <w:kern w:val="0"/>
        </w:rPr>
      </w:pPr>
      <w:bookmarkStart w:id="0" w:name="_GoBack"/>
      <w:bookmarkEnd w:id="0"/>
    </w:p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71027"/>
    <w:rsid w:val="16A710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2017-03-27T01:33:00Z</dcterms:created>
  <dc:creator>Administrator</dc:creator>
  <cp:lastModifiedBy>Administrator</cp:lastModifiedBy>
  <dcterms:modified xsi:type="dcterms:W3CDTF">2017-03-27T01:34:30Z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