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djustRightInd w:val="0"/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附件2</w:t>
      </w:r>
    </w:p>
    <w:p>
      <w:pPr>
        <w:shd w:val="clear"/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hd w:val="clear"/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hd w:val="clear"/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杨凌示范区质量技术监督局</w:t>
      </w:r>
      <w:bookmarkStart w:id="0" w:name="_GoBack"/>
      <w:bookmarkEnd w:id="0"/>
    </w:p>
    <w:tbl>
      <w:tblPr>
        <w:tblStyle w:val="3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黑体"/>
                <w:sz w:val="24"/>
                <w:highlight w:val="none"/>
              </w:rPr>
            </w:pPr>
            <w:r>
              <w:rPr>
                <w:rFonts w:hint="eastAsia" w:ascii="BatangChe" w:hAnsi="BatangChe" w:eastAsia="黑体"/>
                <w:sz w:val="24"/>
                <w:highlight w:val="none"/>
              </w:rPr>
              <w:t>统　计　指　标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黑体"/>
                <w:sz w:val="24"/>
                <w:highlight w:val="none"/>
              </w:rPr>
            </w:pPr>
            <w:r>
              <w:rPr>
                <w:rFonts w:hint="eastAsia" w:ascii="BatangChe" w:hAnsi="BatangChe" w:eastAsia="黑体"/>
                <w:sz w:val="24"/>
                <w:highlight w:val="none"/>
              </w:rPr>
              <w:t>单位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黑体"/>
                <w:sz w:val="24"/>
                <w:highlight w:val="none"/>
              </w:rPr>
            </w:pPr>
            <w:r>
              <w:rPr>
                <w:rFonts w:hint="eastAsia" w:ascii="BatangChe" w:hAnsi="BatangChe" w:eastAsia="黑体"/>
                <w:sz w:val="24"/>
                <w:highlight w:val="none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一、主动公开情况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—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（一）主动公开政府信息数</w:t>
            </w:r>
          </w:p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—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二、回应解读情况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—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（一）回应公众关注热点或重大舆情数</w:t>
            </w:r>
          </w:p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—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篇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三、依申请公开情况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—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（一）收到申请数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1.当面申请数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2.传真申请数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3.网络申请数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4.信函申请数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（二）申请办结数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1.按时办结数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2.延期办结数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（三）申请答复数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2.同意公开答复数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pacing w:val="-4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  <w:highlight w:val="none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四、行政复议数量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（二）被依法纠错数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（三）其他情形数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五、行政诉讼数量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（二）被依法纠错数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（三）其他情形数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六、举报投诉数量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件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万元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八、机构建设和保障经费情况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—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个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个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人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人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　　　2.兼职人员数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人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万元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—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（二）举办各类培训班数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　　（三）接受培训人员数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ascii="BatangChe" w:hAnsi="BatangChe" w:eastAsia="仿宋_GB2312"/>
                <w:sz w:val="24"/>
                <w:highlight w:val="none"/>
              </w:rPr>
            </w:pPr>
            <w:r>
              <w:rPr>
                <w:rFonts w:ascii="BatangChe" w:hAnsi="BatangChe" w:eastAsia="仿宋_GB2312"/>
                <w:sz w:val="24"/>
                <w:highlight w:val="none"/>
              </w:rPr>
              <w:t>人次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highlight w:val="none"/>
                <w:lang w:val="en-US" w:eastAsia="zh-CN"/>
              </w:rPr>
              <w:t>12</w:t>
            </w:r>
          </w:p>
        </w:tc>
      </w:tr>
    </w:tbl>
    <w:p>
      <w:pPr>
        <w:widowControl/>
        <w:shd w:val="clear"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高恺刚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武亚茹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罗庚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029-87035065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2019.2.12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1DDF"/>
    <w:rsid w:val="25301DDF"/>
    <w:rsid w:val="461E4B8F"/>
    <w:rsid w:val="5250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2019-01-22T02:46:00Z</dcterms:created>
  <dc:creator>縴起★佐手</dc:creator>
  <cp:lastModifiedBy>追着太阳去明天</cp:lastModifiedBy>
  <cp:lastPrinted>2019-02-12T08:14:13Z</cp:lastPrinted>
  <dcterms:modified xsi:type="dcterms:W3CDTF">2019-02-12T08:14:39Z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